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660" w:rsidRDefault="008E5631">
      <w:pPr>
        <w:widowControl/>
        <w:shd w:val="clear" w:color="auto" w:fill="FEFFFF"/>
        <w:spacing w:line="525" w:lineRule="atLeast"/>
        <w:jc w:val="center"/>
        <w:rPr>
          <w:rFonts w:ascii="方正小标宋_GBK" w:eastAsia="方正小标宋_GBK" w:hAnsi="方正小标宋_GBK" w:cs="方正小标宋_GBK"/>
          <w:color w:val="333333"/>
          <w:kern w:val="0"/>
          <w:sz w:val="44"/>
          <w:szCs w:val="44"/>
        </w:rPr>
      </w:pPr>
      <w:r>
        <w:rPr>
          <w:rFonts w:ascii="方正小标宋_GBK" w:eastAsia="方正小标宋_GBK" w:hAnsi="方正小标宋_GBK" w:cs="方正小标宋_GBK" w:hint="eastAsia"/>
          <w:color w:val="333333"/>
          <w:kern w:val="0"/>
          <w:sz w:val="44"/>
          <w:szCs w:val="44"/>
        </w:rPr>
        <w:t>吉林省危险性较大的分部分项工程</w:t>
      </w:r>
    </w:p>
    <w:p w:rsidR="00E54660" w:rsidRDefault="008E5631">
      <w:pPr>
        <w:widowControl/>
        <w:shd w:val="clear" w:color="auto" w:fill="FEFFFF"/>
        <w:spacing w:line="525" w:lineRule="atLeast"/>
        <w:ind w:firstLineChars="500" w:firstLine="2200"/>
        <w:rPr>
          <w:rFonts w:ascii="微软雅黑" w:eastAsia="微软雅黑" w:hAnsi="微软雅黑" w:cs="宋体"/>
          <w:color w:val="333333"/>
          <w:kern w:val="0"/>
          <w:sz w:val="28"/>
          <w:szCs w:val="28"/>
        </w:rPr>
      </w:pPr>
      <w:r>
        <w:rPr>
          <w:rFonts w:ascii="方正小标宋_GBK" w:eastAsia="方正小标宋_GBK" w:hAnsi="方正小标宋_GBK" w:cs="方正小标宋_GBK" w:hint="eastAsia"/>
          <w:color w:val="333333"/>
          <w:kern w:val="0"/>
          <w:sz w:val="44"/>
          <w:szCs w:val="44"/>
        </w:rPr>
        <w:t>安全管理实施细则</w:t>
      </w:r>
    </w:p>
    <w:p w:rsidR="00E54660" w:rsidRDefault="008E5631">
      <w:pPr>
        <w:widowControl/>
        <w:shd w:val="clear" w:color="auto" w:fill="FEFFFF"/>
        <w:spacing w:line="525" w:lineRule="atLeast"/>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w:t>
      </w:r>
    </w:p>
    <w:p w:rsidR="00E54660" w:rsidRDefault="008E5631">
      <w:pPr>
        <w:widowControl/>
        <w:shd w:val="clear" w:color="auto" w:fill="FEFFFF"/>
        <w:spacing w:line="525" w:lineRule="atLeast"/>
        <w:jc w:val="center"/>
        <w:rPr>
          <w:rFonts w:ascii="仿宋" w:eastAsia="仿宋" w:hAnsi="仿宋" w:cs="仿宋"/>
          <w:color w:val="333333"/>
          <w:kern w:val="0"/>
          <w:sz w:val="36"/>
          <w:szCs w:val="36"/>
        </w:rPr>
      </w:pPr>
      <w:r>
        <w:rPr>
          <w:rFonts w:ascii="仿宋" w:eastAsia="仿宋" w:hAnsi="仿宋" w:cs="仿宋" w:hint="eastAsia"/>
          <w:color w:val="333333"/>
          <w:kern w:val="0"/>
          <w:sz w:val="36"/>
          <w:szCs w:val="36"/>
        </w:rPr>
        <w:t>第一章　总　则</w:t>
      </w:r>
    </w:p>
    <w:p w:rsidR="00E54660" w:rsidRDefault="00E54660">
      <w:pPr>
        <w:pStyle w:val="2"/>
        <w:ind w:firstLine="640"/>
      </w:pP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第一条　为加强吉林省房屋建筑和市政基础设施工程中危险性较大的分部分项工程安全管理，有效防范生产安全事故，根据住房城乡建设部《危险性较大的分部分项工程安全管理规定》（住房城乡建设部令第</w:t>
      </w:r>
      <w:r>
        <w:rPr>
          <w:rFonts w:ascii="仿宋" w:eastAsia="仿宋" w:hAnsi="仿宋" w:cs="仿宋" w:hint="eastAsia"/>
          <w:color w:val="333333"/>
          <w:kern w:val="0"/>
          <w:sz w:val="32"/>
          <w:szCs w:val="32"/>
        </w:rPr>
        <w:t>37</w:t>
      </w:r>
      <w:r>
        <w:rPr>
          <w:rFonts w:ascii="仿宋" w:eastAsia="仿宋" w:hAnsi="仿宋" w:cs="仿宋" w:hint="eastAsia"/>
          <w:color w:val="333333"/>
          <w:kern w:val="0"/>
          <w:sz w:val="32"/>
          <w:szCs w:val="32"/>
        </w:rPr>
        <w:t>号令）、《住房城乡建设部办公厅关于实施〈危险性较大的分部分项工程安全管理规定〉有关问题的通知》（建办质〔</w:t>
      </w:r>
      <w:r>
        <w:rPr>
          <w:rFonts w:ascii="仿宋" w:eastAsia="仿宋" w:hAnsi="仿宋" w:cs="仿宋" w:hint="eastAsia"/>
          <w:color w:val="333333"/>
          <w:kern w:val="0"/>
          <w:sz w:val="32"/>
          <w:szCs w:val="32"/>
        </w:rPr>
        <w:t>2018</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31</w:t>
      </w:r>
      <w:r>
        <w:rPr>
          <w:rFonts w:ascii="仿宋" w:eastAsia="仿宋" w:hAnsi="仿宋" w:cs="仿宋" w:hint="eastAsia"/>
          <w:color w:val="333333"/>
          <w:kern w:val="0"/>
          <w:sz w:val="32"/>
          <w:szCs w:val="32"/>
        </w:rPr>
        <w:t>号）、《住房和城乡建设部办公厅关于印发危险性较大的分部分项工程专项施工方案编制指南的通知》（建办质【</w:t>
      </w:r>
      <w:r>
        <w:rPr>
          <w:rFonts w:ascii="仿宋" w:eastAsia="仿宋" w:hAnsi="仿宋" w:cs="仿宋" w:hint="eastAsia"/>
          <w:color w:val="333333"/>
          <w:kern w:val="0"/>
          <w:sz w:val="32"/>
          <w:szCs w:val="32"/>
        </w:rPr>
        <w:t>2021</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48</w:t>
      </w:r>
      <w:r>
        <w:rPr>
          <w:rFonts w:ascii="仿宋" w:eastAsia="仿宋" w:hAnsi="仿宋" w:cs="仿宋" w:hint="eastAsia"/>
          <w:color w:val="333333"/>
          <w:kern w:val="0"/>
          <w:sz w:val="32"/>
          <w:szCs w:val="32"/>
        </w:rPr>
        <w:t>号）、住房和城乡建设部关于印发《房屋市政工程生产安全重大事故隐患判定标准（</w:t>
      </w:r>
      <w:r>
        <w:rPr>
          <w:rFonts w:ascii="仿宋" w:eastAsia="仿宋" w:hAnsi="仿宋" w:cs="仿宋" w:hint="eastAsia"/>
          <w:color w:val="333333"/>
          <w:kern w:val="0"/>
          <w:sz w:val="32"/>
          <w:szCs w:val="32"/>
        </w:rPr>
        <w:t>2022</w:t>
      </w:r>
      <w:r>
        <w:rPr>
          <w:rFonts w:ascii="仿宋" w:eastAsia="仿宋" w:hAnsi="仿宋" w:cs="仿宋" w:hint="eastAsia"/>
          <w:color w:val="333333"/>
          <w:kern w:val="0"/>
          <w:sz w:val="32"/>
          <w:szCs w:val="32"/>
        </w:rPr>
        <w:t>版）》的</w:t>
      </w:r>
      <w:r>
        <w:rPr>
          <w:rFonts w:ascii="仿宋" w:eastAsia="仿宋" w:hAnsi="仿宋" w:cs="仿宋" w:hint="eastAsia"/>
          <w:color w:val="333333"/>
          <w:kern w:val="0"/>
          <w:sz w:val="32"/>
          <w:szCs w:val="32"/>
        </w:rPr>
        <w:t>通知（建质规〔</w:t>
      </w:r>
      <w:r>
        <w:rPr>
          <w:rFonts w:ascii="仿宋" w:eastAsia="仿宋" w:hAnsi="仿宋" w:cs="仿宋" w:hint="eastAsia"/>
          <w:color w:val="333333"/>
          <w:kern w:val="0"/>
          <w:sz w:val="32"/>
          <w:szCs w:val="32"/>
        </w:rPr>
        <w:t>2022</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号）及相关法律法规要求，结合本省实际，制定本实施细则。</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第二条　本细则适用于本省行政区域内房屋建筑和市政基础设施工程中危险性较大的分部分项工程安全管理。</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第三条　本细则所称危险性较大的分部分项工程（以下简称</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危大工程</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），是指房屋建筑和市政基础设施工程在施</w:t>
      </w:r>
      <w:r>
        <w:rPr>
          <w:rFonts w:ascii="仿宋" w:eastAsia="仿宋" w:hAnsi="仿宋" w:cs="仿宋" w:hint="eastAsia"/>
          <w:color w:val="333333"/>
          <w:kern w:val="0"/>
          <w:sz w:val="32"/>
          <w:szCs w:val="32"/>
        </w:rPr>
        <w:lastRenderedPageBreak/>
        <w:t>工过程中，容易导致人员群死群伤或者造成重大经济损失的分部分项工程。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第四条　省住房和城乡建设厅负责全省危大工程安全管理的指导监督。县级以上地方人民政府住房城乡建设主管部门按照职责分工负责本行政区域内危大工程的安全监督管</w:t>
      </w:r>
      <w:r>
        <w:rPr>
          <w:rFonts w:ascii="仿宋" w:eastAsia="仿宋" w:hAnsi="仿宋" w:cs="仿宋" w:hint="eastAsia"/>
          <w:color w:val="333333"/>
          <w:kern w:val="0"/>
          <w:sz w:val="32"/>
          <w:szCs w:val="32"/>
        </w:rPr>
        <w:t>理。</w:t>
      </w:r>
    </w:p>
    <w:p w:rsidR="00E54660" w:rsidRDefault="008E5631">
      <w:pPr>
        <w:widowControl/>
        <w:shd w:val="clear" w:color="auto" w:fill="FEFFFF"/>
        <w:spacing w:line="525" w:lineRule="atLeast"/>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第二章　危大工程范围</w:t>
      </w:r>
    </w:p>
    <w:p w:rsidR="00E54660" w:rsidRDefault="00E54660">
      <w:pPr>
        <w:pStyle w:val="2"/>
        <w:ind w:firstLine="640"/>
      </w:pP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第五条　危大工程范围包括：</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一、基坑及边坡工程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（一）开挖深度超过</w:t>
      </w:r>
      <w:r>
        <w:rPr>
          <w:rFonts w:ascii="仿宋" w:eastAsia="仿宋" w:hAnsi="仿宋" w:cs="仿宋" w:hint="eastAsia"/>
          <w:color w:val="333333"/>
          <w:kern w:val="0"/>
          <w:sz w:val="32"/>
          <w:szCs w:val="32"/>
        </w:rPr>
        <w:t>3m</w:t>
      </w:r>
      <w:r>
        <w:rPr>
          <w:rFonts w:ascii="仿宋" w:eastAsia="仿宋" w:hAnsi="仿宋" w:cs="仿宋" w:hint="eastAsia"/>
          <w:color w:val="333333"/>
          <w:kern w:val="0"/>
          <w:sz w:val="32"/>
          <w:szCs w:val="32"/>
        </w:rPr>
        <w:t>（含</w:t>
      </w:r>
      <w:r>
        <w:rPr>
          <w:rFonts w:ascii="仿宋" w:eastAsia="仿宋" w:hAnsi="仿宋" w:cs="仿宋" w:hint="eastAsia"/>
          <w:color w:val="333333"/>
          <w:kern w:val="0"/>
          <w:sz w:val="32"/>
          <w:szCs w:val="32"/>
        </w:rPr>
        <w:t>3m</w:t>
      </w:r>
      <w:r>
        <w:rPr>
          <w:rFonts w:ascii="仿宋" w:eastAsia="仿宋" w:hAnsi="仿宋" w:cs="仿宋" w:hint="eastAsia"/>
          <w:color w:val="333333"/>
          <w:kern w:val="0"/>
          <w:sz w:val="32"/>
          <w:szCs w:val="32"/>
        </w:rPr>
        <w:t>）的基坑（槽）和高度超过３ｍ的边坡工程的土方开挖、支护、降水工程；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（二）开挖深度或高度虽未超过</w:t>
      </w:r>
      <w:r>
        <w:rPr>
          <w:rFonts w:ascii="仿宋" w:eastAsia="仿宋" w:hAnsi="仿宋" w:cs="仿宋" w:hint="eastAsia"/>
          <w:color w:val="333333"/>
          <w:kern w:val="0"/>
          <w:sz w:val="32"/>
          <w:szCs w:val="32"/>
        </w:rPr>
        <w:t>3m</w:t>
      </w:r>
      <w:r>
        <w:rPr>
          <w:rFonts w:ascii="仿宋" w:eastAsia="仿宋" w:hAnsi="仿宋" w:cs="仿宋" w:hint="eastAsia"/>
          <w:color w:val="333333"/>
          <w:kern w:val="0"/>
          <w:sz w:val="32"/>
          <w:szCs w:val="32"/>
        </w:rPr>
        <w:t>，但地质条件、周围环境和地下管线复杂，或影响毗邻建、构筑物安全的基坑（槽）及边坡的土方开挖、支护、降水工程。</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二、模板工程及支撑体系</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（一）各类工具式模板工程：包括滑模、爬模、飞模、隧道模等工程；</w:t>
      </w:r>
    </w:p>
    <w:p w:rsidR="00E54660" w:rsidRDefault="008E5631">
      <w:pPr>
        <w:pStyle w:val="1"/>
        <w:ind w:firstLineChars="100" w:firstLine="320"/>
        <w:rPr>
          <w:rFonts w:ascii="仿宋" w:eastAsia="仿宋" w:hAnsi="仿宋" w:cs="仿宋"/>
          <w:color w:val="333333"/>
          <w:kern w:val="0"/>
          <w:sz w:val="32"/>
          <w:szCs w:val="32"/>
        </w:rPr>
      </w:pPr>
      <w:r>
        <w:rPr>
          <w:rFonts w:ascii="仿宋" w:eastAsia="仿宋" w:hAnsi="仿宋" w:cs="仿宋" w:hint="eastAsia"/>
          <w:color w:val="333333"/>
          <w:kern w:val="0"/>
          <w:sz w:val="32"/>
          <w:szCs w:val="32"/>
        </w:rPr>
        <w:t>（二）混凝土模板支撑工程：搭设高度</w:t>
      </w:r>
      <w:r>
        <w:rPr>
          <w:rFonts w:ascii="仿宋" w:eastAsia="仿宋" w:hAnsi="仿宋" w:cs="仿宋" w:hint="eastAsia"/>
          <w:color w:val="333333"/>
          <w:kern w:val="0"/>
          <w:sz w:val="32"/>
          <w:szCs w:val="32"/>
        </w:rPr>
        <w:t>5m</w:t>
      </w:r>
      <w:r>
        <w:rPr>
          <w:rFonts w:ascii="仿宋" w:eastAsia="仿宋" w:hAnsi="仿宋" w:cs="仿宋" w:hint="eastAsia"/>
          <w:color w:val="333333"/>
          <w:kern w:val="0"/>
          <w:sz w:val="32"/>
          <w:szCs w:val="32"/>
        </w:rPr>
        <w:t>及以上，或搭设跨度</w:t>
      </w:r>
      <w:r>
        <w:rPr>
          <w:rFonts w:ascii="仿宋" w:eastAsia="仿宋" w:hAnsi="仿宋" w:cs="仿宋" w:hint="eastAsia"/>
          <w:color w:val="333333"/>
          <w:kern w:val="0"/>
          <w:sz w:val="32"/>
          <w:szCs w:val="32"/>
        </w:rPr>
        <w:t>10m</w:t>
      </w:r>
      <w:r>
        <w:rPr>
          <w:rFonts w:ascii="仿宋" w:eastAsia="仿宋" w:hAnsi="仿宋" w:cs="仿宋" w:hint="eastAsia"/>
          <w:color w:val="333333"/>
          <w:kern w:val="0"/>
          <w:sz w:val="32"/>
          <w:szCs w:val="32"/>
        </w:rPr>
        <w:t>及以上，或施工总荷载（荷载效应基本组合的设计值，以下简称设计值）</w:t>
      </w:r>
      <w:r>
        <w:rPr>
          <w:rFonts w:ascii="仿宋" w:eastAsia="仿宋" w:hAnsi="仿宋" w:cs="仿宋" w:hint="eastAsia"/>
          <w:color w:val="333333"/>
          <w:kern w:val="0"/>
          <w:sz w:val="32"/>
          <w:szCs w:val="32"/>
        </w:rPr>
        <w:t>10kN/m2</w:t>
      </w:r>
      <w:r>
        <w:rPr>
          <w:rFonts w:ascii="仿宋" w:eastAsia="仿宋" w:hAnsi="仿宋" w:cs="仿宋" w:hint="eastAsia"/>
          <w:color w:val="333333"/>
          <w:kern w:val="0"/>
          <w:sz w:val="32"/>
          <w:szCs w:val="32"/>
        </w:rPr>
        <w:t>及以上，或集中线荷载（设计值）</w:t>
      </w:r>
      <w:r>
        <w:rPr>
          <w:rFonts w:ascii="仿宋" w:eastAsia="仿宋" w:hAnsi="仿宋" w:cs="仿宋" w:hint="eastAsia"/>
          <w:color w:val="333333"/>
          <w:kern w:val="0"/>
          <w:sz w:val="32"/>
          <w:szCs w:val="32"/>
        </w:rPr>
        <w:t xml:space="preserve">15kN/m </w:t>
      </w:r>
      <w:r>
        <w:rPr>
          <w:rFonts w:ascii="仿宋" w:eastAsia="仿宋" w:hAnsi="仿宋" w:cs="仿宋" w:hint="eastAsia"/>
          <w:color w:val="333333"/>
          <w:kern w:val="0"/>
          <w:sz w:val="32"/>
          <w:szCs w:val="32"/>
        </w:rPr>
        <w:t>及以上，或高度大于支撑水平投影宽度且相</w:t>
      </w:r>
      <w:r>
        <w:rPr>
          <w:rFonts w:ascii="仿宋" w:eastAsia="仿宋" w:hAnsi="仿宋" w:cs="仿宋" w:hint="eastAsia"/>
          <w:color w:val="333333"/>
          <w:kern w:val="0"/>
          <w:sz w:val="32"/>
          <w:szCs w:val="32"/>
        </w:rPr>
        <w:lastRenderedPageBreak/>
        <w:t>对独立无联系构件的混凝土模板支撑工程，或采用型钢悬挑的混凝土模板支撑工程；</w:t>
      </w:r>
    </w:p>
    <w:p w:rsidR="00E54660" w:rsidRDefault="00E54660"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（三）承重支撑体系：用于钢结构安装等满堂支撑体系。</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三、起重吊装及起重机械安装拆卸工程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（一）采用非常规起重设备、方法，且单件起吊重量在</w:t>
      </w:r>
      <w:r>
        <w:rPr>
          <w:rFonts w:ascii="仿宋" w:eastAsia="仿宋" w:hAnsi="仿宋" w:cs="仿宋" w:hint="eastAsia"/>
          <w:color w:val="333333"/>
          <w:kern w:val="0"/>
          <w:sz w:val="32"/>
          <w:szCs w:val="32"/>
        </w:rPr>
        <w:t>10kN</w:t>
      </w:r>
      <w:r>
        <w:rPr>
          <w:rFonts w:ascii="仿宋" w:eastAsia="仿宋" w:hAnsi="仿宋" w:cs="仿宋" w:hint="eastAsia"/>
          <w:color w:val="333333"/>
          <w:kern w:val="0"/>
          <w:sz w:val="32"/>
          <w:szCs w:val="32"/>
        </w:rPr>
        <w:t>及以上的起重吊装工程，</w:t>
      </w:r>
      <w:r>
        <w:rPr>
          <w:rFonts w:ascii="仿宋" w:eastAsia="仿宋" w:hAnsi="仿宋" w:cs="仿宋" w:hint="eastAsia"/>
          <w:color w:val="333333"/>
          <w:kern w:val="0"/>
          <w:sz w:val="32"/>
          <w:szCs w:val="32"/>
        </w:rPr>
        <w:t>或</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台及以上起重设备联合作业</w:t>
      </w:r>
      <w:r>
        <w:rPr>
          <w:rFonts w:ascii="仿宋" w:eastAsia="仿宋" w:hAnsi="仿宋" w:cs="仿宋" w:hint="eastAsia"/>
          <w:color w:val="333333"/>
          <w:kern w:val="0"/>
          <w:sz w:val="32"/>
          <w:szCs w:val="32"/>
        </w:rPr>
        <w:t>工程</w:t>
      </w:r>
      <w:r>
        <w:rPr>
          <w:rFonts w:ascii="仿宋" w:eastAsia="仿宋" w:hAnsi="仿宋" w:cs="仿宋" w:hint="eastAsia"/>
          <w:color w:val="333333"/>
          <w:kern w:val="0"/>
          <w:sz w:val="32"/>
          <w:szCs w:val="32"/>
        </w:rPr>
        <w:t>；</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w:t>
      </w:r>
      <w:r>
        <w:rPr>
          <w:rFonts w:ascii="仿宋" w:eastAsia="仿宋" w:hAnsi="仿宋" w:cs="仿宋" w:hint="eastAsia"/>
          <w:color w:val="333333"/>
          <w:kern w:val="0"/>
          <w:sz w:val="32"/>
          <w:szCs w:val="32"/>
        </w:rPr>
        <w:t>采用起重机械进行安装的工程；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（三）起重机械安装和拆卸工程；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（四）同一施工区域有</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台及以上同时作业塔式起重机</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且存在起重臂交叉</w:t>
      </w:r>
      <w:r>
        <w:rPr>
          <w:rFonts w:ascii="仿宋" w:eastAsia="仿宋" w:hAnsi="仿宋" w:cs="仿宋" w:hint="eastAsia"/>
          <w:color w:val="333333"/>
          <w:kern w:val="0"/>
          <w:sz w:val="32"/>
          <w:szCs w:val="32"/>
        </w:rPr>
        <w:t>作业的工程</w:t>
      </w:r>
      <w:r>
        <w:rPr>
          <w:rFonts w:ascii="仿宋" w:eastAsia="仿宋" w:hAnsi="仿宋" w:cs="仿宋" w:hint="eastAsia"/>
          <w:color w:val="333333"/>
          <w:kern w:val="0"/>
          <w:sz w:val="32"/>
          <w:szCs w:val="32"/>
        </w:rPr>
        <w:t>。</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四、脚手架工程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（一）搭设高度</w:t>
      </w:r>
      <w:r>
        <w:rPr>
          <w:rFonts w:ascii="仿宋" w:eastAsia="仿宋" w:hAnsi="仿宋" w:cs="仿宋" w:hint="eastAsia"/>
          <w:color w:val="333333"/>
          <w:kern w:val="0"/>
          <w:sz w:val="32"/>
          <w:szCs w:val="32"/>
        </w:rPr>
        <w:t>24m</w:t>
      </w:r>
      <w:r>
        <w:rPr>
          <w:rFonts w:ascii="仿宋" w:eastAsia="仿宋" w:hAnsi="仿宋" w:cs="仿宋" w:hint="eastAsia"/>
          <w:color w:val="333333"/>
          <w:kern w:val="0"/>
          <w:sz w:val="32"/>
          <w:szCs w:val="32"/>
        </w:rPr>
        <w:t>及以上的落地式钢管脚手架工程（包括采光井、电梯井脚手架）；</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（二）附着式升降脚手架工程；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（三）悬挑式脚手架工程；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（四）高处作业吊篮；</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（五）卸料平台、操作平台工程；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（六）异型脚手架工程。</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五、拆除工程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（一）可能影响行人、交通、电力设施、通讯设施或其他建、构筑物安全的拆除工程；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（二）拆除承重构件的房屋加固改造工程。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六、暗挖工程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采用矿山法、盾构法、顶管法施工的隧道、洞室工程。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七、其他</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（一）建筑幕墙安装工程；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（二）钢结构、网架和索膜结构安装工程；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（三）人工挖孔桩工程；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（四）水下作业工程；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（五）装配式建筑混凝土预制构件安装工程；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（六）含有有限空间作业的分部分项工程；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（七）采用新技术、新工艺、新材料、新设备可能影响工程施工安全，尚无国家、行业及地方技术标准的分部分项工程。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第六条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超过一定规模的危大工程范围包括：</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一、深基坑及高边坡工程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（一）开挖深度或高度在</w:t>
      </w:r>
      <w:r>
        <w:rPr>
          <w:rFonts w:ascii="仿宋" w:eastAsia="仿宋" w:hAnsi="仿宋" w:cs="仿宋" w:hint="eastAsia"/>
          <w:color w:val="333333"/>
          <w:kern w:val="0"/>
          <w:sz w:val="32"/>
          <w:szCs w:val="32"/>
        </w:rPr>
        <w:t>3m</w:t>
      </w:r>
      <w:r>
        <w:rPr>
          <w:rFonts w:ascii="仿宋" w:eastAsia="仿宋" w:hAnsi="仿宋" w:cs="仿宋" w:hint="eastAsia"/>
          <w:color w:val="333333"/>
          <w:kern w:val="0"/>
          <w:sz w:val="32"/>
          <w:szCs w:val="32"/>
        </w:rPr>
        <w:t>至</w:t>
      </w:r>
      <w:r>
        <w:rPr>
          <w:rFonts w:ascii="仿宋" w:eastAsia="仿宋" w:hAnsi="仿宋" w:cs="仿宋" w:hint="eastAsia"/>
          <w:color w:val="333333"/>
          <w:kern w:val="0"/>
          <w:sz w:val="32"/>
          <w:szCs w:val="32"/>
        </w:rPr>
        <w:t>5m</w:t>
      </w:r>
      <w:r>
        <w:rPr>
          <w:rFonts w:ascii="仿宋" w:eastAsia="仿宋" w:hAnsi="仿宋" w:cs="仿宋" w:hint="eastAsia"/>
          <w:color w:val="333333"/>
          <w:kern w:val="0"/>
          <w:sz w:val="32"/>
          <w:szCs w:val="32"/>
        </w:rPr>
        <w:t>范围内，但地质条件、周</w:t>
      </w:r>
      <w:r>
        <w:rPr>
          <w:rFonts w:ascii="仿宋" w:eastAsia="仿宋" w:hAnsi="仿宋" w:cs="仿宋" w:hint="eastAsia"/>
          <w:color w:val="333333"/>
          <w:kern w:val="0"/>
          <w:sz w:val="32"/>
          <w:szCs w:val="32"/>
        </w:rPr>
        <w:t>围环境和地下管线复杂，或影响毗邻建、构筑物安全的基坑（槽）和高边坡的土方开挖、支护、降水工程；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（二）开挖深度或高度超过</w:t>
      </w:r>
      <w:r>
        <w:rPr>
          <w:rFonts w:ascii="仿宋" w:eastAsia="仿宋" w:hAnsi="仿宋" w:cs="仿宋" w:hint="eastAsia"/>
          <w:color w:val="333333"/>
          <w:kern w:val="0"/>
          <w:sz w:val="32"/>
          <w:szCs w:val="32"/>
        </w:rPr>
        <w:t>5m</w:t>
      </w:r>
      <w:r>
        <w:rPr>
          <w:rFonts w:ascii="仿宋" w:eastAsia="仿宋" w:hAnsi="仿宋" w:cs="仿宋" w:hint="eastAsia"/>
          <w:color w:val="333333"/>
          <w:kern w:val="0"/>
          <w:sz w:val="32"/>
          <w:szCs w:val="32"/>
        </w:rPr>
        <w:t>（含</w:t>
      </w:r>
      <w:r>
        <w:rPr>
          <w:rFonts w:ascii="仿宋" w:eastAsia="仿宋" w:hAnsi="仿宋" w:cs="仿宋" w:hint="eastAsia"/>
          <w:color w:val="333333"/>
          <w:kern w:val="0"/>
          <w:sz w:val="32"/>
          <w:szCs w:val="32"/>
        </w:rPr>
        <w:t>5m</w:t>
      </w:r>
      <w:r>
        <w:rPr>
          <w:rFonts w:ascii="仿宋" w:eastAsia="仿宋" w:hAnsi="仿宋" w:cs="仿宋" w:hint="eastAsia"/>
          <w:color w:val="333333"/>
          <w:kern w:val="0"/>
          <w:sz w:val="32"/>
          <w:szCs w:val="32"/>
        </w:rPr>
        <w:t xml:space="preserve">）的基坑（槽）和高边坡的土方开挖、支护、降水工程。　</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二、模板工程及支撑体系</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（一）各类工具式模板工程：包括滑模、爬模、飞模、隧道模等工程；</w:t>
      </w:r>
    </w:p>
    <w:p w:rsidR="00E54660" w:rsidRDefault="008E5631">
      <w:pPr>
        <w:pStyle w:val="1"/>
        <w:rPr>
          <w:rFonts w:ascii="仿宋" w:eastAsia="仿宋" w:hAnsi="仿宋" w:cs="仿宋"/>
          <w:color w:val="333333"/>
          <w:kern w:val="0"/>
          <w:sz w:val="32"/>
          <w:szCs w:val="32"/>
        </w:rPr>
      </w:pPr>
      <w:r>
        <w:rPr>
          <w:rFonts w:ascii="仿宋" w:eastAsia="仿宋" w:hAnsi="仿宋" w:cs="仿宋" w:hint="eastAsia"/>
          <w:color w:val="333333"/>
          <w:kern w:val="0"/>
          <w:sz w:val="32"/>
          <w:szCs w:val="32"/>
        </w:rPr>
        <w:t>（二）混凝土模板支撑工程：搭设高度</w:t>
      </w:r>
      <w:r>
        <w:rPr>
          <w:rFonts w:ascii="仿宋" w:eastAsia="仿宋" w:hAnsi="仿宋" w:cs="仿宋" w:hint="eastAsia"/>
          <w:color w:val="333333"/>
          <w:kern w:val="0"/>
          <w:sz w:val="32"/>
          <w:szCs w:val="32"/>
        </w:rPr>
        <w:t>8m</w:t>
      </w:r>
      <w:r>
        <w:rPr>
          <w:rFonts w:ascii="仿宋" w:eastAsia="仿宋" w:hAnsi="仿宋" w:cs="仿宋" w:hint="eastAsia"/>
          <w:color w:val="333333"/>
          <w:kern w:val="0"/>
          <w:sz w:val="32"/>
          <w:szCs w:val="32"/>
        </w:rPr>
        <w:t>及以上，或搭设跨度</w:t>
      </w:r>
      <w:r>
        <w:rPr>
          <w:rFonts w:ascii="仿宋" w:eastAsia="仿宋" w:hAnsi="仿宋" w:cs="仿宋" w:hint="eastAsia"/>
          <w:color w:val="333333"/>
          <w:kern w:val="0"/>
          <w:sz w:val="32"/>
          <w:szCs w:val="32"/>
        </w:rPr>
        <w:t>18m</w:t>
      </w:r>
      <w:r>
        <w:rPr>
          <w:rFonts w:ascii="仿宋" w:eastAsia="仿宋" w:hAnsi="仿宋" w:cs="仿宋" w:hint="eastAsia"/>
          <w:color w:val="333333"/>
          <w:kern w:val="0"/>
          <w:sz w:val="32"/>
          <w:szCs w:val="32"/>
        </w:rPr>
        <w:t>及以上，或施工总荷载（设计值）</w:t>
      </w:r>
      <w:r>
        <w:rPr>
          <w:rFonts w:ascii="仿宋" w:eastAsia="仿宋" w:hAnsi="仿宋" w:cs="仿宋" w:hint="eastAsia"/>
          <w:color w:val="333333"/>
          <w:kern w:val="0"/>
          <w:sz w:val="32"/>
          <w:szCs w:val="32"/>
        </w:rPr>
        <w:t>15kN/m2</w:t>
      </w:r>
      <w:r>
        <w:rPr>
          <w:rFonts w:ascii="仿宋" w:eastAsia="仿宋" w:hAnsi="仿宋" w:cs="仿宋" w:hint="eastAsia"/>
          <w:color w:val="333333"/>
          <w:kern w:val="0"/>
          <w:sz w:val="32"/>
          <w:szCs w:val="32"/>
        </w:rPr>
        <w:t>及以上，或集中线荷载（设计值）</w:t>
      </w:r>
      <w:r>
        <w:rPr>
          <w:rFonts w:ascii="仿宋" w:eastAsia="仿宋" w:hAnsi="仿宋" w:cs="仿宋" w:hint="eastAsia"/>
          <w:color w:val="333333"/>
          <w:kern w:val="0"/>
          <w:sz w:val="32"/>
          <w:szCs w:val="32"/>
        </w:rPr>
        <w:t>20kN/m</w:t>
      </w:r>
      <w:r>
        <w:rPr>
          <w:rFonts w:ascii="仿宋" w:eastAsia="仿宋" w:hAnsi="仿宋" w:cs="仿宋" w:hint="eastAsia"/>
          <w:color w:val="333333"/>
          <w:kern w:val="0"/>
          <w:sz w:val="32"/>
          <w:szCs w:val="32"/>
        </w:rPr>
        <w:t>及以上，或型钢悬挑长度</w:t>
      </w:r>
      <w:r>
        <w:rPr>
          <w:rFonts w:ascii="仿宋" w:eastAsia="仿宋" w:hAnsi="仿宋" w:cs="仿宋" w:hint="eastAsia"/>
          <w:color w:val="333333"/>
          <w:kern w:val="0"/>
          <w:sz w:val="32"/>
          <w:szCs w:val="32"/>
        </w:rPr>
        <w:t>3m</w:t>
      </w:r>
      <w:r>
        <w:rPr>
          <w:rFonts w:ascii="仿宋" w:eastAsia="仿宋" w:hAnsi="仿宋" w:cs="仿宋" w:hint="eastAsia"/>
          <w:color w:val="333333"/>
          <w:kern w:val="0"/>
          <w:sz w:val="32"/>
          <w:szCs w:val="32"/>
        </w:rPr>
        <w:t>及以上模板支撑工程；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（三）承重支撑体系：用于钢结构安装等满</w:t>
      </w:r>
      <w:r>
        <w:rPr>
          <w:rFonts w:ascii="仿宋" w:eastAsia="仿宋" w:hAnsi="仿宋" w:cs="仿宋" w:hint="eastAsia"/>
          <w:color w:val="333333"/>
          <w:kern w:val="0"/>
          <w:sz w:val="32"/>
          <w:szCs w:val="32"/>
        </w:rPr>
        <w:t>堂支撑体系，承受单点集中荷载</w:t>
      </w:r>
      <w:r>
        <w:rPr>
          <w:rFonts w:ascii="仿宋" w:eastAsia="仿宋" w:hAnsi="仿宋" w:cs="仿宋" w:hint="eastAsia"/>
          <w:color w:val="333333"/>
          <w:kern w:val="0"/>
          <w:sz w:val="32"/>
          <w:szCs w:val="32"/>
        </w:rPr>
        <w:t>7kN</w:t>
      </w:r>
      <w:r>
        <w:rPr>
          <w:rFonts w:ascii="仿宋" w:eastAsia="仿宋" w:hAnsi="仿宋" w:cs="仿宋" w:hint="eastAsia"/>
          <w:color w:val="333333"/>
          <w:kern w:val="0"/>
          <w:sz w:val="32"/>
          <w:szCs w:val="32"/>
        </w:rPr>
        <w:t>及以上。</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三、起重吊装及起重机械安装拆卸工程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（一）采用非常规起重设备、方法，且单件起吊重量在</w:t>
      </w:r>
      <w:r>
        <w:rPr>
          <w:rFonts w:ascii="仿宋" w:eastAsia="仿宋" w:hAnsi="仿宋" w:cs="仿宋" w:hint="eastAsia"/>
          <w:color w:val="333333"/>
          <w:kern w:val="0"/>
          <w:sz w:val="32"/>
          <w:szCs w:val="32"/>
        </w:rPr>
        <w:t>100kN</w:t>
      </w:r>
      <w:r>
        <w:rPr>
          <w:rFonts w:ascii="仿宋" w:eastAsia="仿宋" w:hAnsi="仿宋" w:cs="仿宋" w:hint="eastAsia"/>
          <w:color w:val="333333"/>
          <w:kern w:val="0"/>
          <w:sz w:val="32"/>
          <w:szCs w:val="32"/>
        </w:rPr>
        <w:t>及以上的起重吊装工程，或</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台及以上起重设备联合作业工程；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（二）起重量</w:t>
      </w:r>
      <w:r>
        <w:rPr>
          <w:rFonts w:ascii="仿宋" w:eastAsia="仿宋" w:hAnsi="仿宋" w:cs="仿宋" w:hint="eastAsia"/>
          <w:color w:val="333333"/>
          <w:kern w:val="0"/>
          <w:sz w:val="32"/>
          <w:szCs w:val="32"/>
        </w:rPr>
        <w:t>300kN</w:t>
      </w:r>
      <w:r>
        <w:rPr>
          <w:rFonts w:ascii="仿宋" w:eastAsia="仿宋" w:hAnsi="仿宋" w:cs="仿宋" w:hint="eastAsia"/>
          <w:color w:val="333333"/>
          <w:kern w:val="0"/>
          <w:sz w:val="32"/>
          <w:szCs w:val="32"/>
        </w:rPr>
        <w:t>及以上，或搭设总高度</w:t>
      </w:r>
      <w:r>
        <w:rPr>
          <w:rFonts w:ascii="仿宋" w:eastAsia="仿宋" w:hAnsi="仿宋" w:cs="仿宋" w:hint="eastAsia"/>
          <w:color w:val="333333"/>
          <w:kern w:val="0"/>
          <w:sz w:val="32"/>
          <w:szCs w:val="32"/>
        </w:rPr>
        <w:t>200m</w:t>
      </w:r>
      <w:r>
        <w:rPr>
          <w:rFonts w:ascii="仿宋" w:eastAsia="仿宋" w:hAnsi="仿宋" w:cs="仿宋" w:hint="eastAsia"/>
          <w:color w:val="333333"/>
          <w:kern w:val="0"/>
          <w:sz w:val="32"/>
          <w:szCs w:val="32"/>
        </w:rPr>
        <w:t>及以上，或搭设基础标高在</w:t>
      </w:r>
      <w:r>
        <w:rPr>
          <w:rFonts w:ascii="仿宋" w:eastAsia="仿宋" w:hAnsi="仿宋" w:cs="仿宋" w:hint="eastAsia"/>
          <w:color w:val="333333"/>
          <w:kern w:val="0"/>
          <w:sz w:val="32"/>
          <w:szCs w:val="32"/>
        </w:rPr>
        <w:t>200m</w:t>
      </w:r>
      <w:r>
        <w:rPr>
          <w:rFonts w:ascii="仿宋" w:eastAsia="仿宋" w:hAnsi="仿宋" w:cs="仿宋" w:hint="eastAsia"/>
          <w:color w:val="333333"/>
          <w:kern w:val="0"/>
          <w:sz w:val="32"/>
          <w:szCs w:val="32"/>
        </w:rPr>
        <w:t>及以上的起重机械安装和拆卸工程；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（三）采用非常规安装方式或不能按照产品使用说明书要求安装的塔式起重机及施工升降机安装拆卸工程。</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四、脚手架工程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（一）搭设高度</w:t>
      </w:r>
      <w:r>
        <w:rPr>
          <w:rFonts w:ascii="仿宋" w:eastAsia="仿宋" w:hAnsi="仿宋" w:cs="仿宋" w:hint="eastAsia"/>
          <w:color w:val="333333"/>
          <w:kern w:val="0"/>
          <w:sz w:val="32"/>
          <w:szCs w:val="32"/>
        </w:rPr>
        <w:t>50m</w:t>
      </w:r>
      <w:r>
        <w:rPr>
          <w:rFonts w:ascii="仿宋" w:eastAsia="仿宋" w:hAnsi="仿宋" w:cs="仿宋" w:hint="eastAsia"/>
          <w:color w:val="333333"/>
          <w:kern w:val="0"/>
          <w:sz w:val="32"/>
          <w:szCs w:val="32"/>
        </w:rPr>
        <w:t>及以上的落地式钢管脚手架工程；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（二）提升高度在</w:t>
      </w:r>
      <w:r>
        <w:rPr>
          <w:rFonts w:ascii="仿宋" w:eastAsia="仿宋" w:hAnsi="仿宋" w:cs="仿宋" w:hint="eastAsia"/>
          <w:color w:val="333333"/>
          <w:kern w:val="0"/>
          <w:sz w:val="32"/>
          <w:szCs w:val="32"/>
        </w:rPr>
        <w:t>150m</w:t>
      </w:r>
      <w:r>
        <w:rPr>
          <w:rFonts w:ascii="仿宋" w:eastAsia="仿宋" w:hAnsi="仿宋" w:cs="仿宋" w:hint="eastAsia"/>
          <w:color w:val="333333"/>
          <w:kern w:val="0"/>
          <w:sz w:val="32"/>
          <w:szCs w:val="32"/>
        </w:rPr>
        <w:t>及以上的附着式升降脚手架工程或附着式升降操作平台工程；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（三）分段架体搭设高度</w:t>
      </w:r>
      <w:r>
        <w:rPr>
          <w:rFonts w:ascii="仿宋" w:eastAsia="仿宋" w:hAnsi="仿宋" w:cs="仿宋" w:hint="eastAsia"/>
          <w:color w:val="333333"/>
          <w:kern w:val="0"/>
          <w:sz w:val="32"/>
          <w:szCs w:val="32"/>
        </w:rPr>
        <w:t>20m</w:t>
      </w:r>
      <w:r>
        <w:rPr>
          <w:rFonts w:ascii="仿宋" w:eastAsia="仿宋" w:hAnsi="仿宋" w:cs="仿宋" w:hint="eastAsia"/>
          <w:color w:val="333333"/>
          <w:kern w:val="0"/>
          <w:sz w:val="32"/>
          <w:szCs w:val="32"/>
        </w:rPr>
        <w:t>及以上的悬挑式脚手架工程；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（四）采用非常规安装方式或不能按照产品使用说明书要求安装使用的高处作业吊篮；</w:t>
      </w:r>
    </w:p>
    <w:p w:rsidR="00E54660" w:rsidRDefault="008E5631">
      <w:pPr>
        <w:pStyle w:val="a6"/>
        <w:widowControl/>
        <w:shd w:val="clear" w:color="auto" w:fill="FFFFFF"/>
        <w:wordWrap w:val="0"/>
        <w:spacing w:before="0" w:beforeAutospacing="0" w:after="0" w:afterAutospacing="0" w:line="400" w:lineRule="atLeast"/>
        <w:ind w:firstLineChars="200" w:firstLine="560"/>
        <w:rPr>
          <w:rFonts w:ascii="仿宋" w:eastAsia="仿宋" w:hAnsi="仿宋" w:cs="仿宋"/>
          <w:color w:val="333333"/>
          <w:sz w:val="32"/>
          <w:szCs w:val="32"/>
        </w:rPr>
      </w:pPr>
      <w:r>
        <w:rPr>
          <w:rFonts w:ascii="宋体" w:hAnsi="宋体" w:hint="eastAsia"/>
          <w:color w:val="000000"/>
          <w:sz w:val="28"/>
          <w:szCs w:val="28"/>
          <w:shd w:val="clear" w:color="auto" w:fill="FFFFFF"/>
        </w:rPr>
        <w:t>（五</w:t>
      </w:r>
      <w:r>
        <w:rPr>
          <w:rFonts w:ascii="仿宋" w:eastAsia="仿宋" w:hAnsi="仿宋" w:cs="仿宋" w:hint="eastAsia"/>
          <w:color w:val="333333"/>
          <w:sz w:val="32"/>
          <w:szCs w:val="32"/>
        </w:rPr>
        <w:t>）操作平台、卸料平台工程</w:t>
      </w:r>
    </w:p>
    <w:p w:rsidR="00E54660" w:rsidRDefault="008E5631">
      <w:pPr>
        <w:pStyle w:val="a6"/>
        <w:widowControl/>
        <w:shd w:val="clear" w:color="auto" w:fill="FFFFFF"/>
        <w:wordWrap w:val="0"/>
        <w:spacing w:before="0" w:beforeAutospacing="0" w:after="0" w:afterAutospacing="0" w:line="400" w:lineRule="atLeas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落地式操作平台的高度大于</w:t>
      </w:r>
      <w:r>
        <w:rPr>
          <w:rFonts w:ascii="仿宋" w:eastAsia="仿宋" w:hAnsi="仿宋" w:cs="仿宋" w:hint="eastAsia"/>
          <w:color w:val="333333"/>
          <w:sz w:val="32"/>
          <w:szCs w:val="32"/>
        </w:rPr>
        <w:t>15m</w:t>
      </w:r>
      <w:r>
        <w:rPr>
          <w:rFonts w:ascii="仿宋" w:eastAsia="仿宋" w:hAnsi="仿宋" w:cs="仿宋" w:hint="eastAsia"/>
          <w:color w:val="333333"/>
          <w:sz w:val="32"/>
          <w:szCs w:val="32"/>
        </w:rPr>
        <w:t>，或施工荷载大于</w:t>
      </w:r>
      <w:r>
        <w:rPr>
          <w:rFonts w:ascii="仿宋" w:eastAsia="仿宋" w:hAnsi="仿宋" w:cs="仿宋" w:hint="eastAsia"/>
          <w:color w:val="333333"/>
          <w:sz w:val="32"/>
          <w:szCs w:val="32"/>
        </w:rPr>
        <w:t>2.0kN/</w:t>
      </w:r>
      <w:r>
        <w:rPr>
          <w:rFonts w:ascii="仿宋" w:eastAsia="仿宋" w:hAnsi="仿宋" w:cs="仿宋" w:hint="eastAsia"/>
          <w:color w:val="333333"/>
          <w:sz w:val="32"/>
          <w:szCs w:val="32"/>
        </w:rPr>
        <w:t>㎡；</w:t>
      </w:r>
    </w:p>
    <w:p w:rsidR="00E54660" w:rsidRDefault="008E5631">
      <w:pPr>
        <w:pStyle w:val="a6"/>
        <w:widowControl/>
        <w:shd w:val="clear" w:color="auto" w:fill="FFFFFF"/>
        <w:wordWrap w:val="0"/>
        <w:spacing w:before="0" w:beforeAutospacing="0" w:after="0" w:afterAutospacing="0" w:line="400" w:lineRule="atLeas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悬挑式卸料平台的悬挑长度大于</w:t>
      </w:r>
      <w:r>
        <w:rPr>
          <w:rFonts w:ascii="仿宋" w:eastAsia="仿宋" w:hAnsi="仿宋" w:cs="仿宋" w:hint="eastAsia"/>
          <w:color w:val="333333"/>
          <w:sz w:val="32"/>
          <w:szCs w:val="32"/>
        </w:rPr>
        <w:t>5m</w:t>
      </w:r>
      <w:r>
        <w:rPr>
          <w:rFonts w:ascii="仿宋" w:eastAsia="仿宋" w:hAnsi="仿宋" w:cs="仿宋" w:hint="eastAsia"/>
          <w:color w:val="333333"/>
          <w:sz w:val="32"/>
          <w:szCs w:val="32"/>
        </w:rPr>
        <w:t>，或均布荷载大于</w:t>
      </w:r>
      <w:r>
        <w:rPr>
          <w:rFonts w:ascii="仿宋" w:eastAsia="仿宋" w:hAnsi="仿宋" w:cs="仿宋" w:hint="eastAsia"/>
          <w:color w:val="333333"/>
          <w:sz w:val="32"/>
          <w:szCs w:val="32"/>
        </w:rPr>
        <w:t>5.5kN/</w:t>
      </w:r>
      <w:r>
        <w:rPr>
          <w:rFonts w:ascii="仿宋" w:eastAsia="仿宋" w:hAnsi="仿宋" w:cs="仿宋" w:hint="eastAsia"/>
          <w:color w:val="333333"/>
          <w:sz w:val="32"/>
          <w:szCs w:val="32"/>
        </w:rPr>
        <w:t>㎡，集中荷载大于</w:t>
      </w:r>
      <w:r>
        <w:rPr>
          <w:rFonts w:ascii="仿宋" w:eastAsia="仿宋" w:hAnsi="仿宋" w:cs="仿宋" w:hint="eastAsia"/>
          <w:color w:val="333333"/>
          <w:sz w:val="32"/>
          <w:szCs w:val="32"/>
        </w:rPr>
        <w:t>15kN</w:t>
      </w:r>
      <w:r>
        <w:rPr>
          <w:rFonts w:ascii="仿宋" w:eastAsia="仿宋" w:hAnsi="仿宋" w:cs="仿宋" w:hint="eastAsia"/>
          <w:color w:val="333333"/>
          <w:sz w:val="32"/>
          <w:szCs w:val="32"/>
        </w:rPr>
        <w:t>。</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五、拆除工程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（一）码头、桥梁、高架、烟囱、水塔或拆除中容易引起有毒有害气（液）体或粉尘扩散、易燃易爆事故发生的特殊建、构筑物的拆除工程；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（二）置换承重构件的房屋加固改造工程；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（三）桥梁、隧道技术状况评定等级为四类、五类的加固工程；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（四）文物保护建筑、优秀历史建筑或历史文化风貌区影响范围内的拆除工程。</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六、暗挖工程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采用矿山法、盾构法、顶管法施工的隧道、洞室工程。</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七、其他</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（一）施工高度</w:t>
      </w:r>
      <w:r>
        <w:rPr>
          <w:rFonts w:ascii="仿宋" w:eastAsia="仿宋" w:hAnsi="仿宋" w:cs="仿宋" w:hint="eastAsia"/>
          <w:color w:val="333333"/>
          <w:kern w:val="0"/>
          <w:sz w:val="32"/>
          <w:szCs w:val="32"/>
        </w:rPr>
        <w:t>50m</w:t>
      </w:r>
      <w:r>
        <w:rPr>
          <w:rFonts w:ascii="仿宋" w:eastAsia="仿宋" w:hAnsi="仿宋" w:cs="仿宋" w:hint="eastAsia"/>
          <w:color w:val="333333"/>
          <w:kern w:val="0"/>
          <w:sz w:val="32"/>
          <w:szCs w:val="32"/>
        </w:rPr>
        <w:t>及以上的建筑幕墙安装工程；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（二）跨度</w:t>
      </w:r>
      <w:r>
        <w:rPr>
          <w:rFonts w:ascii="仿宋" w:eastAsia="仿宋" w:hAnsi="仿宋" w:cs="仿宋" w:hint="eastAsia"/>
          <w:color w:val="333333"/>
          <w:kern w:val="0"/>
          <w:sz w:val="32"/>
          <w:szCs w:val="32"/>
        </w:rPr>
        <w:t>36m</w:t>
      </w:r>
      <w:r>
        <w:rPr>
          <w:rFonts w:ascii="仿宋" w:eastAsia="仿宋" w:hAnsi="仿宋" w:cs="仿宋" w:hint="eastAsia"/>
          <w:color w:val="333333"/>
          <w:kern w:val="0"/>
          <w:sz w:val="32"/>
          <w:szCs w:val="32"/>
        </w:rPr>
        <w:t>及以上的钢结构安装工程，或跨度</w:t>
      </w:r>
      <w:r>
        <w:rPr>
          <w:rFonts w:ascii="仿宋" w:eastAsia="仿宋" w:hAnsi="仿宋" w:cs="仿宋" w:hint="eastAsia"/>
          <w:color w:val="333333"/>
          <w:kern w:val="0"/>
          <w:sz w:val="32"/>
          <w:szCs w:val="32"/>
        </w:rPr>
        <w:t>60m</w:t>
      </w:r>
      <w:r>
        <w:rPr>
          <w:rFonts w:ascii="仿宋" w:eastAsia="仿宋" w:hAnsi="仿宋" w:cs="仿宋" w:hint="eastAsia"/>
          <w:color w:val="333333"/>
          <w:kern w:val="0"/>
          <w:sz w:val="32"/>
          <w:szCs w:val="32"/>
        </w:rPr>
        <w:t>及以上的网架和索膜结构安装工程；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（三）开挖深度</w:t>
      </w:r>
      <w:r>
        <w:rPr>
          <w:rFonts w:ascii="仿宋" w:eastAsia="仿宋" w:hAnsi="仿宋" w:cs="仿宋" w:hint="eastAsia"/>
          <w:color w:val="333333"/>
          <w:kern w:val="0"/>
          <w:sz w:val="32"/>
          <w:szCs w:val="32"/>
        </w:rPr>
        <w:t>16m</w:t>
      </w:r>
      <w:r>
        <w:rPr>
          <w:rFonts w:ascii="仿宋" w:eastAsia="仿宋" w:hAnsi="仿宋" w:cs="仿宋" w:hint="eastAsia"/>
          <w:color w:val="333333"/>
          <w:kern w:val="0"/>
          <w:sz w:val="32"/>
          <w:szCs w:val="32"/>
        </w:rPr>
        <w:t>及以上的人工挖孔桩工程；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（四）水下作业工程；</w:t>
      </w:r>
    </w:p>
    <w:p w:rsidR="00E54660" w:rsidRDefault="008E5631" w:rsidP="008E5631">
      <w:pPr>
        <w:widowControl/>
        <w:shd w:val="clear" w:color="auto" w:fill="FEFFFF"/>
        <w:spacing w:line="525" w:lineRule="atLeast"/>
        <w:ind w:firstLineChars="118" w:firstLine="378"/>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（五）重量</w:t>
      </w:r>
      <w:r>
        <w:rPr>
          <w:rFonts w:ascii="仿宋" w:eastAsia="仿宋" w:hAnsi="仿宋" w:cs="仿宋" w:hint="eastAsia"/>
          <w:color w:val="333333"/>
          <w:kern w:val="0"/>
          <w:sz w:val="32"/>
          <w:szCs w:val="32"/>
        </w:rPr>
        <w:t>1000kN</w:t>
      </w:r>
      <w:r>
        <w:rPr>
          <w:rFonts w:ascii="仿宋" w:eastAsia="仿宋" w:hAnsi="仿宋" w:cs="仿宋" w:hint="eastAsia"/>
          <w:color w:val="333333"/>
          <w:kern w:val="0"/>
          <w:sz w:val="32"/>
          <w:szCs w:val="32"/>
        </w:rPr>
        <w:t>及以上的大型结构整体顶升、提升、平移、转体等施工工程。</w:t>
      </w:r>
    </w:p>
    <w:p w:rsidR="00E54660" w:rsidRDefault="008E5631">
      <w:pPr>
        <w:pStyle w:val="a6"/>
        <w:widowControl/>
        <w:shd w:val="clear" w:color="auto" w:fill="FFFFFF"/>
        <w:wordWrap w:val="0"/>
        <w:spacing w:before="0" w:beforeAutospacing="0" w:after="0" w:afterAutospacing="0" w:line="400" w:lineRule="atLeast"/>
        <w:ind w:firstLineChars="150" w:firstLine="480"/>
        <w:rPr>
          <w:rFonts w:ascii="仿宋" w:eastAsia="仿宋" w:hAnsi="仿宋" w:cs="仿宋"/>
          <w:color w:val="333333"/>
          <w:sz w:val="32"/>
          <w:szCs w:val="32"/>
        </w:rPr>
      </w:pPr>
      <w:r>
        <w:rPr>
          <w:rFonts w:ascii="仿宋" w:eastAsia="仿宋" w:hAnsi="仿宋" w:cs="仿宋" w:hint="eastAsia"/>
          <w:color w:val="333333"/>
          <w:sz w:val="32"/>
          <w:szCs w:val="32"/>
        </w:rPr>
        <w:t>（六）有限空间作业工程</w:t>
      </w:r>
    </w:p>
    <w:p w:rsidR="00E54660" w:rsidRDefault="008E5631">
      <w:pPr>
        <w:pStyle w:val="a6"/>
        <w:widowControl/>
        <w:shd w:val="clear" w:color="auto" w:fill="FFFFFF"/>
        <w:wordWrap w:val="0"/>
        <w:spacing w:before="0" w:beforeAutospacing="0" w:after="0" w:afterAutospacing="0" w:line="400" w:lineRule="atLeas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市政排水管道、调蓄池等清淤工程；在有限空间内采用燃料加热或电加热等升温方式的冬期施工工程。</w:t>
      </w:r>
    </w:p>
    <w:p w:rsidR="00E54660" w:rsidRDefault="008E5631">
      <w:pPr>
        <w:widowControl/>
        <w:shd w:val="clear" w:color="auto" w:fill="FEFFFF"/>
        <w:spacing w:line="525" w:lineRule="atLeast"/>
        <w:ind w:firstLineChars="177" w:firstLine="566"/>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（七）采用新技术、新工艺、新材料、新设备可能影响工程施工安全，尚无国家、行业及地方技术标准的分部分项工程。</w:t>
      </w:r>
    </w:p>
    <w:p w:rsidR="00E54660" w:rsidRDefault="008E5631">
      <w:pPr>
        <w:widowControl/>
        <w:shd w:val="clear" w:color="auto" w:fill="FEFFFF"/>
        <w:spacing w:line="525" w:lineRule="atLeast"/>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第三章　前期保障</w:t>
      </w:r>
    </w:p>
    <w:p w:rsidR="00E54660" w:rsidRDefault="00E54660">
      <w:pPr>
        <w:pStyle w:val="2"/>
        <w:ind w:firstLine="640"/>
      </w:pPr>
    </w:p>
    <w:p w:rsidR="00E54660" w:rsidRDefault="008E5631">
      <w:pPr>
        <w:spacing w:line="312" w:lineRule="auto"/>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第七条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建设单位应当依法提供真实、准确、完整的工程地质、水文地质和工程周边环境等资料。</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第八条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勘察单位应当根据工程实际及工程周边环境资料，在勘察文件中说明地质条件可能造成的工程风险。</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设计单位应当在设计文件中注明涉及危大工程的重点部位和环节，提出保障工程周边环境安全和工程施工安全的意见，必要时进行专项设计。</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第九条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 xml:space="preserve">建设单位应当组织勘察、设计等单位在施工招标文件中列出危大工程清单，要求施工单位在投标时补充完善危大工程清单，并提供相应的安全管理措施。　　</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第十条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建设单位在申请办理安全监督手续时，应当提交危大工程清单及其安全管理措施等资料。</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第十一条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建设单位应当按照施工合</w:t>
      </w:r>
      <w:r>
        <w:rPr>
          <w:rFonts w:ascii="仿宋" w:eastAsia="仿宋" w:hAnsi="仿宋" w:cs="仿宋" w:hint="eastAsia"/>
          <w:color w:val="333333"/>
          <w:kern w:val="0"/>
          <w:sz w:val="32"/>
          <w:szCs w:val="32"/>
        </w:rPr>
        <w:t>同约定及时支付危大工程施工技术措施费以及相应的安全防护文明施工措施费，保障施工安全。相关支付凭证复印件</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加盖公章</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留存现场备查。</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w:t>
      </w:r>
    </w:p>
    <w:p w:rsidR="00E54660" w:rsidRDefault="008E5631">
      <w:pPr>
        <w:widowControl/>
        <w:shd w:val="clear" w:color="auto" w:fill="FEFFFF"/>
        <w:spacing w:line="525" w:lineRule="atLeast"/>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第四章　专项方案编制</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第十二条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施工单位应当在危大工程施工前组织工程技术人员编制专项方案。危大工程专项施工方案的主要内容应当包括：</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一、工程概况：危大工程概况和特点、施工平面布置、施工要求和技术保证条件、风险辨识与分级、参建各方责任主体单位等；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二、编制依据：相关法律、法规、规范性文件、标准、规范及施工图设计文件、施工组织设计等；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三、施工计划：包括施工进度计</w:t>
      </w:r>
      <w:r>
        <w:rPr>
          <w:rFonts w:ascii="仿宋" w:eastAsia="仿宋" w:hAnsi="仿宋" w:cs="仿宋" w:hint="eastAsia"/>
          <w:color w:val="333333"/>
          <w:kern w:val="0"/>
          <w:sz w:val="32"/>
          <w:szCs w:val="32"/>
        </w:rPr>
        <w:t>划、材料与设备计划；</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四、施工工艺技术：技术参数、工艺流程、施工方法、操作要求、检查要求等；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五、施工保证措施：组织保障措施、技术措施、监测监控措施等；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六、施工管理及作业人员配备和分工：施工管理人员、专职安全生产管理人员、特种作业人员、其他作业人员等；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七、验收要求：验收标准、验收程序、验收内容、验收人员等；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八、应急处置措施；</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九、计算书及相关施工图纸。</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第十三条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实行施工总承包的，专项方案应当由施工总承包单位组织编制；危大工程实行分包的，其专项方案可由相关专业分包单位组织编制。</w:t>
      </w:r>
    </w:p>
    <w:p w:rsidR="00E54660" w:rsidRDefault="008E5631">
      <w:pPr>
        <w:widowControl/>
        <w:shd w:val="clear" w:color="auto" w:fill="FEFFFF"/>
        <w:spacing w:line="525" w:lineRule="atLeast"/>
        <w:ind w:firstLine="48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第十四条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专项方案应当由施工单位技术负责人审核签字、加盖单位公章，并由总监理工程师审查签字、加盖执业印章后方可实施。分包单位编制的专项方案应当由总承包单位技术负责人及分包单位技术负责人共同审核签字并加盖单位公章。</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w:t>
      </w:r>
    </w:p>
    <w:p w:rsidR="00E54660" w:rsidRDefault="008E5631">
      <w:pPr>
        <w:widowControl/>
        <w:shd w:val="clear" w:color="auto" w:fill="FEFFFF"/>
        <w:spacing w:line="525" w:lineRule="atLeast"/>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第五章　专项方案论证</w:t>
      </w:r>
    </w:p>
    <w:p w:rsidR="00E54660" w:rsidRDefault="00E54660">
      <w:pPr>
        <w:pStyle w:val="2"/>
        <w:ind w:firstLine="640"/>
      </w:pP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第十五条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对于超过一定规模的危大工程，施工单位应当组织召开专家论证会对专项方案进行论证。实行施工总承</w:t>
      </w:r>
      <w:r>
        <w:rPr>
          <w:rFonts w:ascii="仿宋" w:eastAsia="仿宋" w:hAnsi="仿宋" w:cs="仿宋" w:hint="eastAsia"/>
          <w:color w:val="333333"/>
          <w:kern w:val="0"/>
          <w:sz w:val="32"/>
          <w:szCs w:val="32"/>
        </w:rPr>
        <w:lastRenderedPageBreak/>
        <w:t>包的，由施工总承包单位组织召开专家论证会。专家论</w:t>
      </w:r>
      <w:r>
        <w:rPr>
          <w:rFonts w:ascii="仿宋" w:eastAsia="仿宋" w:hAnsi="仿宋" w:cs="仿宋" w:hint="eastAsia"/>
          <w:color w:val="333333"/>
          <w:kern w:val="0"/>
          <w:sz w:val="32"/>
          <w:szCs w:val="32"/>
        </w:rPr>
        <w:t>证前专项方案应当通过施工单位审核和总监理工程师审查。</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第十六条　省住房城乡建设厅和设区的市住房城乡建设主管部门应建立专家库。</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施工单位应从工程所在地设区市或省级专家库中选取不少于</w:t>
      </w:r>
      <w:r>
        <w:rPr>
          <w:rFonts w:ascii="仿宋" w:eastAsia="仿宋" w:hAnsi="仿宋" w:cs="仿宋" w:hint="eastAsia"/>
          <w:color w:val="333333"/>
          <w:kern w:val="0"/>
          <w:sz w:val="32"/>
          <w:szCs w:val="32"/>
        </w:rPr>
        <w:t>5</w:t>
      </w:r>
      <w:r>
        <w:rPr>
          <w:rFonts w:ascii="仿宋" w:eastAsia="仿宋" w:hAnsi="仿宋" w:cs="仿宋" w:hint="eastAsia"/>
          <w:color w:val="333333"/>
          <w:kern w:val="0"/>
          <w:sz w:val="32"/>
          <w:szCs w:val="32"/>
        </w:rPr>
        <w:t>名所涉专业专家，组成专项施工方案论证专家组（以下简称专家组），当本专业专项施工方案内容涉及其它专业时，可增选涉及专业</w:t>
      </w:r>
      <w:r>
        <w:rPr>
          <w:rFonts w:ascii="仿宋" w:eastAsia="仿宋" w:hAnsi="仿宋" w:cs="仿宋" w:hint="eastAsia"/>
          <w:color w:val="333333"/>
          <w:kern w:val="0"/>
          <w:sz w:val="32"/>
          <w:szCs w:val="32"/>
        </w:rPr>
        <w:t>1-2</w:t>
      </w:r>
      <w:r>
        <w:rPr>
          <w:rFonts w:ascii="仿宋" w:eastAsia="仿宋" w:hAnsi="仿宋" w:cs="仿宋" w:hint="eastAsia"/>
          <w:color w:val="333333"/>
          <w:kern w:val="0"/>
          <w:sz w:val="32"/>
          <w:szCs w:val="32"/>
        </w:rPr>
        <w:t>名专家共同组成专家组。专家组实行组长负责制，组长由组员自行选出。</w:t>
      </w:r>
    </w:p>
    <w:p w:rsidR="00E54660" w:rsidRDefault="008E5631">
      <w:pPr>
        <w:widowControl/>
        <w:shd w:val="clear" w:color="auto" w:fill="FEFFFF"/>
        <w:spacing w:line="525" w:lineRule="atLeast"/>
        <w:ind w:firstLineChars="200" w:firstLine="640"/>
        <w:jc w:val="left"/>
        <w:rPr>
          <w:rFonts w:ascii="仿宋" w:eastAsia="仿宋" w:hAnsi="仿宋" w:cs="仿宋"/>
          <w:color w:val="000000"/>
          <w:kern w:val="0"/>
          <w:sz w:val="32"/>
          <w:szCs w:val="32"/>
        </w:rPr>
      </w:pPr>
      <w:r>
        <w:rPr>
          <w:rFonts w:ascii="仿宋" w:eastAsia="仿宋" w:hAnsi="仿宋" w:cs="仿宋" w:hint="eastAsia"/>
          <w:color w:val="333333"/>
          <w:kern w:val="0"/>
          <w:sz w:val="32"/>
          <w:szCs w:val="32"/>
        </w:rPr>
        <w:t>选取的专家中要有工程技术类和安全管理类符合专业要求的专家，人数不得少于</w:t>
      </w:r>
      <w:r>
        <w:rPr>
          <w:rFonts w:ascii="仿宋" w:eastAsia="仿宋" w:hAnsi="仿宋" w:cs="仿宋" w:hint="eastAsia"/>
          <w:color w:val="333333"/>
          <w:kern w:val="0"/>
          <w:sz w:val="32"/>
          <w:szCs w:val="32"/>
        </w:rPr>
        <w:t>5</w:t>
      </w:r>
      <w:r>
        <w:rPr>
          <w:rFonts w:ascii="仿宋" w:eastAsia="仿宋" w:hAnsi="仿宋" w:cs="仿宋" w:hint="eastAsia"/>
          <w:color w:val="333333"/>
          <w:kern w:val="0"/>
          <w:sz w:val="32"/>
          <w:szCs w:val="32"/>
        </w:rPr>
        <w:t>名。与本工程有利害关系的人员以及属地住房和城乡建设主管部门、施工安全监督</w:t>
      </w:r>
      <w:r>
        <w:rPr>
          <w:rFonts w:ascii="仿宋" w:eastAsia="仿宋" w:hAnsi="仿宋" w:cs="仿宋" w:hint="eastAsia"/>
          <w:color w:val="333333"/>
          <w:kern w:val="0"/>
          <w:sz w:val="32"/>
          <w:szCs w:val="32"/>
        </w:rPr>
        <w:t>机构的工作人员不得担任专家组成员。</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专家应满足以下条件：</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（一）诚实守信、作风正派、学术严谨；</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（二）从事相关专业工作</w:t>
      </w:r>
      <w:r>
        <w:rPr>
          <w:rFonts w:ascii="仿宋" w:eastAsia="仿宋" w:hAnsi="仿宋" w:cs="仿宋" w:hint="eastAsia"/>
          <w:color w:val="333333"/>
          <w:kern w:val="0"/>
          <w:sz w:val="32"/>
          <w:szCs w:val="32"/>
        </w:rPr>
        <w:t>15</w:t>
      </w:r>
      <w:r>
        <w:rPr>
          <w:rFonts w:ascii="仿宋" w:eastAsia="仿宋" w:hAnsi="仿宋" w:cs="仿宋" w:hint="eastAsia"/>
          <w:color w:val="333333"/>
          <w:kern w:val="0"/>
          <w:sz w:val="32"/>
          <w:szCs w:val="32"/>
        </w:rPr>
        <w:t>年以上或具有丰富的危大工程专业工作经验；</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（三）具有相关专业高级技术职称（同时具有相关专业注册执业资格者可优先选用）；</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（四）年龄原则上不超过</w:t>
      </w:r>
      <w:r>
        <w:rPr>
          <w:rFonts w:ascii="仿宋" w:eastAsia="仿宋" w:hAnsi="仿宋" w:cs="仿宋" w:hint="eastAsia"/>
          <w:color w:val="333333"/>
          <w:kern w:val="0"/>
          <w:sz w:val="32"/>
          <w:szCs w:val="32"/>
        </w:rPr>
        <w:t>70</w:t>
      </w:r>
      <w:r>
        <w:rPr>
          <w:rFonts w:ascii="仿宋" w:eastAsia="仿宋" w:hAnsi="仿宋" w:cs="仿宋" w:hint="eastAsia"/>
          <w:color w:val="333333"/>
          <w:kern w:val="0"/>
          <w:sz w:val="32"/>
          <w:szCs w:val="32"/>
        </w:rPr>
        <w:t>周岁，身体健康；</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（五）未因对建筑施工生产安全事故负有责任而受到行政处罚；</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（六）三年内未受到建设行政主管部门行政处罚，无不良行为记录。</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第十七条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以下人员应当参加专项方案专家论证会：</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（一）危大工程所涉专业的专家；</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（二）建设单位项目负责人；</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（三）有关勘察、设计单位项目技术负责人及相关人员；</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（四）总承包单位和分包单位技术负责人或授权委派的专业技术人员、项目负责人、项目技术负责人、专项施工方案编制人员、项目专职安全生产管理人员及相关人员；</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（五）监理单位项目总监理工程师及专业监理工程师。</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危大工程论证会原则上应在施工现场召开，施工单位应在论证会召开前组织专家组进行现场踏勘；施工现场不具备组织会议条件的</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施工单位应提供能够客观完整反映施工现场条件的影像资料。施工单位应全程视频记录会议过程，视频记录应保存至工程建设活动结束为止。</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第十八条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组织专家论证的施工企业应当于论证会召开</w:t>
      </w:r>
      <w:r>
        <w:rPr>
          <w:rFonts w:ascii="仿宋" w:eastAsia="仿宋" w:hAnsi="仿宋" w:cs="仿宋" w:hint="eastAsia"/>
          <w:color w:val="333333"/>
          <w:kern w:val="0"/>
          <w:sz w:val="32"/>
          <w:szCs w:val="32"/>
        </w:rPr>
        <w:t>3</w:t>
      </w:r>
      <w:r>
        <w:rPr>
          <w:rFonts w:ascii="仿宋" w:eastAsia="仿宋" w:hAnsi="仿宋" w:cs="仿宋" w:hint="eastAsia"/>
          <w:color w:val="333333"/>
          <w:kern w:val="0"/>
          <w:sz w:val="32"/>
          <w:szCs w:val="32"/>
        </w:rPr>
        <w:t>个工作日前，告知项目所在地</w:t>
      </w:r>
      <w:r>
        <w:rPr>
          <w:rFonts w:ascii="仿宋" w:eastAsia="仿宋" w:hAnsi="仿宋" w:cs="仿宋" w:hint="eastAsia"/>
          <w:sz w:val="32"/>
          <w:szCs w:val="32"/>
        </w:rPr>
        <w:t>住房城乡建设主管部门</w:t>
      </w:r>
      <w:r>
        <w:rPr>
          <w:rFonts w:ascii="仿宋" w:eastAsia="仿宋" w:hAnsi="仿宋" w:cs="仿宋" w:hint="eastAsia"/>
          <w:color w:val="333333"/>
          <w:kern w:val="0"/>
          <w:sz w:val="32"/>
          <w:szCs w:val="32"/>
        </w:rPr>
        <w:t>。</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第十九条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组织专家论证的施工单位应将需要论证的专项方案及相关设计、勘察等辅助资料于论证会</w:t>
      </w:r>
      <w:r>
        <w:rPr>
          <w:rFonts w:ascii="仿宋" w:eastAsia="仿宋" w:hAnsi="仿宋" w:cs="仿宋" w:hint="eastAsia"/>
          <w:color w:val="333333"/>
          <w:kern w:val="0"/>
          <w:sz w:val="32"/>
          <w:szCs w:val="32"/>
        </w:rPr>
        <w:t>3</w:t>
      </w:r>
      <w:r>
        <w:rPr>
          <w:rFonts w:ascii="仿宋" w:eastAsia="仿宋" w:hAnsi="仿宋" w:cs="仿宋" w:hint="eastAsia"/>
          <w:color w:val="333333"/>
          <w:kern w:val="0"/>
          <w:sz w:val="32"/>
          <w:szCs w:val="32"/>
        </w:rPr>
        <w:t>个工作日前送达论证专家。专家应在论证会前对方案进行预审，必要时到施工现场进行实地</w:t>
      </w:r>
      <w:r>
        <w:rPr>
          <w:rFonts w:ascii="仿宋" w:eastAsia="仿宋" w:hAnsi="仿宋" w:cs="仿宋" w:hint="eastAsia"/>
          <w:color w:val="333333"/>
          <w:kern w:val="0"/>
          <w:sz w:val="32"/>
          <w:szCs w:val="32"/>
        </w:rPr>
        <w:t>考察，了解施工现场实际情况。</w:t>
      </w:r>
    </w:p>
    <w:p w:rsidR="00E54660" w:rsidRDefault="008E5631">
      <w:pPr>
        <w:widowControl/>
        <w:shd w:val="clear" w:color="auto" w:fill="FEFFFF"/>
        <w:spacing w:line="525" w:lineRule="atLeast"/>
        <w:ind w:firstLine="480"/>
        <w:jc w:val="left"/>
        <w:rPr>
          <w:rFonts w:ascii="仿宋" w:eastAsia="仿宋" w:hAnsi="仿宋" w:cs="仿宋"/>
          <w:sz w:val="32"/>
          <w:szCs w:val="32"/>
        </w:rPr>
      </w:pPr>
      <w:r>
        <w:rPr>
          <w:rFonts w:ascii="仿宋" w:eastAsia="仿宋" w:hAnsi="仿宋" w:cs="仿宋" w:hint="eastAsia"/>
          <w:color w:val="333333"/>
          <w:kern w:val="0"/>
          <w:sz w:val="32"/>
          <w:szCs w:val="32"/>
        </w:rPr>
        <w:lastRenderedPageBreak/>
        <w:t>对专项方案进行论证时，专家根据论证需要，有权调阅工程相关技术资料，有权提出独立的论证意见，不受任何单位或者个人的干预。专家应当遵守专家论证的相关管理制度，客观、公正、科学地进行论证。对在论证过程中知悉的商业秘密，应当予以保密。</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第二十条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专家论证包括资料完备性审核和技术性论证，资料经完备性审核通过后方可进行技术性论证。</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资料完备性审核内容包括流程合规性、专项施工方案签章和内容完整性。</w:t>
      </w:r>
    </w:p>
    <w:p w:rsidR="00E54660" w:rsidRDefault="008E5631">
      <w:pPr>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第二十一条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关于专家论证内容</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一、对于超过一定规模的危大工程专项施工方案，专家论证的主要内容应</w:t>
      </w:r>
      <w:r>
        <w:rPr>
          <w:rFonts w:ascii="仿宋" w:eastAsia="仿宋" w:hAnsi="仿宋" w:cs="仿宋" w:hint="eastAsia"/>
          <w:color w:val="333333"/>
          <w:kern w:val="0"/>
          <w:sz w:val="32"/>
          <w:szCs w:val="32"/>
        </w:rPr>
        <w:t>当包括：</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（一）专项施工方案内容是否完整、可行；</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（二）专项施工方案计算书和验算依据、施工图是否符合有关标准规范；</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（三）专项施工方案是否满足现场实际情况，并能够确保施工安全。</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二、专家应按照下列技术要点开展论证工作：</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（一）工程及周边环境条件描述是否全面、清晰、真实；</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（二）编制依据是否齐全、有效；</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（三）风险辨识及分级是否全面、准确，风险管控措施是否具有针对性和可操作性；</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（四）施工计划（部署）是否合理；</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（五）施工现场布置和资源配置是否合理；</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（六）施工工艺流程、技术参数等是否满足设计工况和现场实际情况；</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（七）施工安全保证措施是否具有针对性和可操作性；</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（八）监测方案（如涉及）是否合理、可行；</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（九）危大工程验收要求是否符合相关规定及标准；</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（十）应急处置措施是否具有针对性和有效性；</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（十一）计算书及相关施工图纸是否符合有关标准。</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第二十二条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专家论证会应当形成论证报告，对专项施工方案形成通过、修改后通过或者不通过的一致论证结论。专家对论证报告应签字确认，并对论证结论负责。</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一、论证结论为不通过，论证报告中应列明施工方案中存在的全部不通过情形。</w:t>
      </w:r>
      <w:r>
        <w:rPr>
          <w:rFonts w:ascii="仿宋" w:eastAsia="仿宋" w:hAnsi="仿宋" w:cs="仿宋" w:hint="eastAsia"/>
          <w:color w:val="333333"/>
          <w:kern w:val="0"/>
          <w:sz w:val="32"/>
          <w:szCs w:val="32"/>
        </w:rPr>
        <w:t>论证结论为不通过的，施工单位修改后应当按要求重新组织专家论证，原则上由原论证专家组实施论证。</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二、论证结论为修改后通过的，施工单位应根据论证报告对专项施工方案进行修改，并依次由施工单位技术负责人审核签字、加盖单位公章，总监理工程师审查签字、加盖执业印章，专家组组长及提出修改意见的专家签字确认后方可实施。</w:t>
      </w:r>
    </w:p>
    <w:p w:rsidR="00E54660" w:rsidRDefault="008E5631">
      <w:pPr>
        <w:widowControl/>
        <w:spacing w:line="560" w:lineRule="exac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三、当专项施工方案中未出现不通过情形，且专家组未提出明确修改意见时，论证结论应为通过。</w:t>
      </w:r>
    </w:p>
    <w:p w:rsidR="00E54660" w:rsidRDefault="00E54660">
      <w:pPr>
        <w:pStyle w:val="2"/>
        <w:ind w:firstLine="640"/>
      </w:pPr>
    </w:p>
    <w:p w:rsidR="00E54660" w:rsidRDefault="008E5631">
      <w:pPr>
        <w:widowControl/>
        <w:shd w:val="clear" w:color="auto" w:fill="FEFFFF"/>
        <w:spacing w:line="525" w:lineRule="atLeast"/>
        <w:ind w:left="420"/>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 xml:space="preserve">第六章　</w:t>
      </w:r>
      <w:r>
        <w:rPr>
          <w:rFonts w:ascii="仿宋" w:eastAsia="仿宋" w:hAnsi="仿宋" w:cs="仿宋" w:hint="eastAsia"/>
          <w:b/>
          <w:bCs/>
          <w:color w:val="333333"/>
          <w:kern w:val="0"/>
          <w:sz w:val="36"/>
          <w:szCs w:val="36"/>
        </w:rPr>
        <w:t>现场安全管理</w:t>
      </w:r>
    </w:p>
    <w:p w:rsidR="00E54660" w:rsidRDefault="00E54660">
      <w:pPr>
        <w:pStyle w:val="2"/>
        <w:ind w:firstLineChars="0" w:firstLine="0"/>
      </w:pP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第二十三条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施工单位应当在施工现场显著位置公告危大工程名称、施工时间和具体责任人员，并在危险区域设置安全警示标志。</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第二十四条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专项方案实施前，编制人员或者项目技术负责人应当向施工现场管理人员进行方案交底。</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施工现场管理人员应当向作业人员进行安全技术交底，并由双方和项目专职安全生产管理人员共同签字确认。</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第二十五条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施工单位应当严格按照审查、论证通过的专项方案组织施工，不得擅自修改专项方案。</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因规划调整、设计变更、外部环境等原因确需调整的，修改后的专项方案应当按照本规定重新审核和论证。涉及资金或者工期调</w:t>
      </w:r>
      <w:r>
        <w:rPr>
          <w:rFonts w:ascii="仿宋" w:eastAsia="仿宋" w:hAnsi="仿宋" w:cs="仿宋" w:hint="eastAsia"/>
          <w:color w:val="333333"/>
          <w:kern w:val="0"/>
          <w:sz w:val="32"/>
          <w:szCs w:val="32"/>
        </w:rPr>
        <w:t>整的，建设单位应当按照约定予以调整。</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第二十六条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施工单位应当对危大工程施工作业人员进行登记，项目负责人应当在施工现场履职。</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第二十七条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项目专职安全管理人员应当对专项方案实施情况进行现场监督，对未按照专项方案施工的，应当要求立即整改，并及时报告项目负责人，项目负责人应当及时组织限期整改。</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第二十八条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施工单位应当按照规定对危大工程进行施工监测和安全巡视，发现危及人身安全的紧急情况，应当立即组织作业人员撤离危险区域。</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第二十九条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超过一定规模的危大工程施工期间，施工单位每月应组织不少于</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次专项检查。建议聘请专家组成员在专项方案实施过程中跟踪指导</w:t>
      </w:r>
      <w:r>
        <w:rPr>
          <w:rFonts w:ascii="仿宋" w:eastAsia="仿宋" w:hAnsi="仿宋" w:cs="仿宋" w:hint="eastAsia"/>
          <w:color w:val="333333"/>
          <w:kern w:val="0"/>
          <w:sz w:val="32"/>
          <w:szCs w:val="32"/>
        </w:rPr>
        <w:t>1</w:t>
      </w:r>
      <w:r>
        <w:rPr>
          <w:rFonts w:ascii="仿宋" w:eastAsia="仿宋" w:hAnsi="仿宋" w:cs="仿宋" w:hint="eastAsia"/>
          <w:color w:val="333333"/>
          <w:kern w:val="0"/>
          <w:sz w:val="32"/>
          <w:szCs w:val="32"/>
        </w:rPr>
        <w:t>至</w:t>
      </w:r>
      <w:r>
        <w:rPr>
          <w:rFonts w:ascii="仿宋" w:eastAsia="仿宋" w:hAnsi="仿宋" w:cs="仿宋" w:hint="eastAsia"/>
          <w:color w:val="333333"/>
          <w:kern w:val="0"/>
          <w:sz w:val="32"/>
          <w:szCs w:val="32"/>
        </w:rPr>
        <w:t>2</w:t>
      </w:r>
      <w:r>
        <w:rPr>
          <w:rFonts w:ascii="仿宋" w:eastAsia="仿宋" w:hAnsi="仿宋" w:cs="仿宋" w:hint="eastAsia"/>
          <w:color w:val="333333"/>
          <w:kern w:val="0"/>
          <w:sz w:val="32"/>
          <w:szCs w:val="32"/>
        </w:rPr>
        <w:t>次。</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监理单位应当将危大工程列入监理规划和监理实施细则，针对工程特点、周边环境和施工工艺等，制定安全监理工作流程、方法和措施。</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第三十一条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监理单位应当对危大工程施工实施专项巡视检查，对超过一定规模的危大工程实行旁站监理，发现施工单位未按照专项方案施工的，应当要求其进行整改；情节严重的，应当要求其暂停施工，并及时报告建设单位。施工单位拒不整改或者不停止施工的，监理单位应</w:t>
      </w:r>
      <w:r>
        <w:rPr>
          <w:rFonts w:ascii="仿宋" w:eastAsia="仿宋" w:hAnsi="仿宋" w:cs="仿宋" w:hint="eastAsia"/>
          <w:color w:val="333333"/>
          <w:kern w:val="0"/>
          <w:sz w:val="32"/>
          <w:szCs w:val="32"/>
        </w:rPr>
        <w:t>当及时报告建设单位和工程所在地住房城乡建设主管部门。</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第三十二条　对于需要进行第三方监测的危大工程，建设单位应当委托具</w:t>
      </w:r>
      <w:r>
        <w:rPr>
          <w:rFonts w:ascii="仿宋" w:eastAsia="仿宋" w:hAnsi="仿宋" w:cs="仿宋" w:hint="eastAsia"/>
          <w:kern w:val="0"/>
          <w:sz w:val="32"/>
          <w:szCs w:val="32"/>
        </w:rPr>
        <w:t>有相应勘察资质的单</w:t>
      </w:r>
      <w:r>
        <w:rPr>
          <w:rFonts w:ascii="仿宋" w:eastAsia="仿宋" w:hAnsi="仿宋" w:cs="仿宋" w:hint="eastAsia"/>
          <w:color w:val="333333"/>
          <w:kern w:val="0"/>
          <w:sz w:val="32"/>
          <w:szCs w:val="32"/>
        </w:rPr>
        <w:t>位进行监测。</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监测单位应当编制监测方案，主要内容应当包括工程概况、监测依据、监测内容、监测方法、人员及设备、测点布置与保护、监测频次、预警标准及监测成果报送等。</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监测方案由监测单位技术负责人审核签字并加盖单位公章，报送监理单位后方可实施。</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监测单位应当按照监测方案开展监测，及时向建设单位报送监测成果，并对监测成果负责；发现异常时，及时向建设、设计、施工、监理</w:t>
      </w:r>
      <w:r>
        <w:rPr>
          <w:rFonts w:ascii="仿宋" w:eastAsia="仿宋" w:hAnsi="仿宋" w:cs="仿宋" w:hint="eastAsia"/>
          <w:color w:val="333333"/>
          <w:kern w:val="0"/>
          <w:sz w:val="32"/>
          <w:szCs w:val="32"/>
        </w:rPr>
        <w:t>单位报告，建设单位应当立即组织相关单位采取处置措施。</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第三十三条　对于按照规定需要验收的危大工程，施工单位、监理单位应当组织相关人员进行验收。验收人员应当包括：</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一、总承包单位和分包单位技术负责人或授权委派的专业技术人员、项目负责人、项目技术负责人、专项方案编制人员、项目专职安全生产管理人员及相关人员；</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二、监理单位项目总监理工程师及专业监理工程师；</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三、有关勘察、设计和监测单位项目技术负责人；　</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验收合格的，经施工单位项目技术负责人及总监理工程师签字确认后，方可进入下一道工序。</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危</w:t>
      </w:r>
      <w:r>
        <w:rPr>
          <w:rFonts w:ascii="仿宋" w:eastAsia="仿宋" w:hAnsi="仿宋" w:cs="仿宋" w:hint="eastAsia"/>
          <w:color w:val="333333"/>
          <w:kern w:val="0"/>
          <w:sz w:val="32"/>
          <w:szCs w:val="32"/>
        </w:rPr>
        <w:t>大工程验收合格后，施工单位应当在施工现场明显位置设置验收标识牌，公示验收时间及责任人员。</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第三十四条　危大工程发生险情或者事故时，施工单位应当立即采取应急处置措施，并报告工程所在地住房城乡建设有关主管部门。建设、勘察、设计、监理等单位应当配合施工单位开展应急抢险工作。</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lastRenderedPageBreak/>
        <w:t xml:space="preserve">　　第三十五条　危大工程应急抢险结束后，建设单位应当组织勘察、设计、施工、监理等单位制定工程恢复方案，并对应急抢险工作进行后评估。</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第三十六条　施工、监理单位应当建立危大工程安全管理档案。</w:t>
      </w:r>
    </w:p>
    <w:p w:rsidR="00E54660" w:rsidRDefault="008E5631">
      <w:pPr>
        <w:widowControl/>
        <w:shd w:val="clear" w:color="auto" w:fill="FEFFFF"/>
        <w:spacing w:line="525" w:lineRule="atLeast"/>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施工单位应当将专项方案及审核、专家论证、交底、现场检查、验收及整改等相关资料纳入档案管理。</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监理单位应当将监理实施细则、专项方案审查、专项巡视检查、验收及整改等相关资料纳入档案管理。</w:t>
      </w:r>
    </w:p>
    <w:p w:rsidR="00E54660" w:rsidRDefault="00E54660">
      <w:pPr>
        <w:widowControl/>
        <w:shd w:val="clear" w:color="auto" w:fill="FEFFFF"/>
        <w:spacing w:line="525" w:lineRule="atLeast"/>
        <w:jc w:val="left"/>
        <w:rPr>
          <w:rFonts w:ascii="仿宋" w:eastAsia="仿宋" w:hAnsi="仿宋" w:cs="仿宋"/>
          <w:color w:val="333333"/>
          <w:kern w:val="0"/>
          <w:sz w:val="32"/>
          <w:szCs w:val="32"/>
        </w:rPr>
      </w:pPr>
    </w:p>
    <w:p w:rsidR="00E54660" w:rsidRDefault="008E5631">
      <w:pPr>
        <w:widowControl/>
        <w:shd w:val="clear" w:color="auto" w:fill="FEFFFF"/>
        <w:spacing w:line="525" w:lineRule="atLeast"/>
        <w:jc w:val="center"/>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第七章</w:t>
      </w:r>
      <w:r>
        <w:rPr>
          <w:rFonts w:ascii="仿宋" w:eastAsia="仿宋" w:hAnsi="仿宋" w:cs="仿宋" w:hint="eastAsia"/>
          <w:b/>
          <w:bCs/>
          <w:color w:val="333333"/>
          <w:kern w:val="0"/>
          <w:sz w:val="36"/>
          <w:szCs w:val="36"/>
        </w:rPr>
        <w:t xml:space="preserve">  </w:t>
      </w:r>
      <w:r>
        <w:rPr>
          <w:rFonts w:ascii="仿宋" w:eastAsia="仿宋" w:hAnsi="仿宋" w:cs="仿宋" w:hint="eastAsia"/>
          <w:b/>
          <w:bCs/>
          <w:color w:val="333333"/>
          <w:kern w:val="0"/>
          <w:sz w:val="36"/>
          <w:szCs w:val="36"/>
        </w:rPr>
        <w:t>监督管理</w:t>
      </w:r>
    </w:p>
    <w:p w:rsidR="00E54660" w:rsidRDefault="00E54660">
      <w:pPr>
        <w:pStyle w:val="2"/>
        <w:ind w:firstLineChars="0" w:firstLine="0"/>
      </w:pP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第三十七条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县级以上住房城乡建设主管部门或者所属施工安全监督机构，应当根据监督工作计划对危大工程进行抽查。</w:t>
      </w:r>
    </w:p>
    <w:p w:rsidR="00E54660" w:rsidRDefault="008E5631">
      <w:pPr>
        <w:widowControl/>
        <w:shd w:val="clear" w:color="auto" w:fill="FEFFFF"/>
        <w:spacing w:line="525" w:lineRule="atLeast"/>
        <w:rPr>
          <w:rFonts w:ascii="仿宋" w:eastAsia="仿宋" w:hAnsi="仿宋" w:cs="仿宋"/>
          <w:color w:val="333333"/>
          <w:kern w:val="0"/>
          <w:sz w:val="32"/>
          <w:szCs w:val="32"/>
        </w:rPr>
      </w:pP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县级以上住房城乡建设主管部门或者所属施工安全监督机构，可以通过政府购买技术服务方式，聘请具有专业技术能力的单位和人员对危大工程进行检查，所需费用向本级财政申请予以保障。</w:t>
      </w:r>
    </w:p>
    <w:p w:rsidR="00E54660" w:rsidRDefault="008E5631">
      <w:pPr>
        <w:widowControl/>
        <w:shd w:val="clear" w:color="auto" w:fill="FEFFFF"/>
        <w:spacing w:line="525" w:lineRule="atLeas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第三十八条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县级以上住房城乡建设主管部门或者所属施工安全监督机构，在监督抽查中发现危大工程存在安全隐患的，应当立即责令施工单位整改；重大安全事故隐患排除</w:t>
      </w:r>
      <w:r>
        <w:rPr>
          <w:rFonts w:ascii="仿宋" w:eastAsia="仿宋" w:hAnsi="仿宋" w:cs="仿宋" w:hint="eastAsia"/>
          <w:color w:val="333333"/>
          <w:kern w:val="0"/>
          <w:sz w:val="32"/>
          <w:szCs w:val="32"/>
        </w:rPr>
        <w:lastRenderedPageBreak/>
        <w:t>前或者排除过程中无法保证安全的，责令从危险区域内撤出作业人员或者暂时停止施工。</w:t>
      </w:r>
    </w:p>
    <w:p w:rsidR="00E54660" w:rsidRDefault="008E5631">
      <w:pPr>
        <w:widowControl/>
        <w:shd w:val="clear" w:color="auto" w:fill="FEFFFF"/>
        <w:spacing w:line="525" w:lineRule="atLeas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第三十九条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设主管部门或者所属施工安全监督机构，发现工程建设、勘察、设计、施工、监理和监测单位、人员违反危大工程管理有关规定，应当依照《中华人民共和国安全生产法》、《建设工程安全生产管理条例》和《危险性较大的分部分项工程安全管理规定》给予处罚。</w:t>
      </w:r>
    </w:p>
    <w:p w:rsidR="00E54660" w:rsidRDefault="008E5631">
      <w:pPr>
        <w:widowControl/>
        <w:shd w:val="clear" w:color="auto" w:fill="FEFFFF"/>
        <w:spacing w:line="525" w:lineRule="atLeas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第四十条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w:t>
      </w:r>
      <w:r>
        <w:rPr>
          <w:rFonts w:ascii="仿宋" w:eastAsia="仿宋" w:hAnsi="仿宋" w:cs="仿宋" w:hint="eastAsia"/>
          <w:color w:val="333333"/>
          <w:kern w:val="0"/>
          <w:sz w:val="32"/>
          <w:szCs w:val="32"/>
        </w:rPr>
        <w:t>设主管部门应当将单位和个人违反危大工程管理有关规定的处罚信息纳入建筑施工安全生产不良信用记录。</w:t>
      </w:r>
    </w:p>
    <w:p w:rsidR="00E54660" w:rsidRDefault="008E5631">
      <w:pPr>
        <w:widowControl/>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333333"/>
          <w:kern w:val="0"/>
          <w:sz w:val="32"/>
          <w:szCs w:val="32"/>
        </w:rPr>
        <w:t>第四十一条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和城乡建设主管部门应当对属地房屋市政工程中危大工程专家论证情况，已完成的论证方案及结论实行抽查，重点抽查论证行为是否合规、论证结论是否正确，对存在问题的工程项目责令改正，并将监督检查发现的专家违规行为及时报告专家库建立和管理机关。</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省住房城乡建设厅和设区的市住房城乡建设主管部门应当加强对专家库专家的管理，制定专家库管理制度，定期向社会公布，接受社会监督。对于专家不认真履行论证职责、工作失职</w:t>
      </w:r>
      <w:r>
        <w:rPr>
          <w:rFonts w:ascii="仿宋" w:eastAsia="仿宋" w:hAnsi="仿宋" w:cs="仿宋" w:hint="eastAsia"/>
          <w:color w:val="333333"/>
          <w:kern w:val="0"/>
          <w:sz w:val="32"/>
          <w:szCs w:val="32"/>
        </w:rPr>
        <w:t>等行为，情节严重的，取消专家资格。</w:t>
      </w:r>
    </w:p>
    <w:p w:rsidR="00E54660" w:rsidRDefault="008E5631">
      <w:pPr>
        <w:widowControl/>
        <w:shd w:val="clear" w:color="auto" w:fill="FEFFFF"/>
        <w:spacing w:line="525" w:lineRule="atLeas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第四十二条</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县级以上住房城乡建设主管部门或者所属施工安全监督机构工作人员，未依法履行危大工程安全监督管理职责的，依照有关规定给予处分。</w:t>
      </w:r>
    </w:p>
    <w:p w:rsidR="00E54660" w:rsidRDefault="00E54660">
      <w:pPr>
        <w:pStyle w:val="2"/>
        <w:ind w:firstLine="640"/>
      </w:pPr>
    </w:p>
    <w:p w:rsidR="00E54660" w:rsidRDefault="008E5631">
      <w:pPr>
        <w:widowControl/>
        <w:shd w:val="clear" w:color="auto" w:fill="FEFFFF"/>
        <w:spacing w:line="525" w:lineRule="atLeast"/>
        <w:ind w:left="420" w:firstLineChars="500" w:firstLine="1807"/>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第八章　附　则</w:t>
      </w:r>
    </w:p>
    <w:p w:rsidR="00E54660" w:rsidRDefault="008E5631">
      <w:pPr>
        <w:widowControl/>
        <w:shd w:val="clear" w:color="auto" w:fill="FEFFFF"/>
        <w:spacing w:line="525" w:lineRule="atLeast"/>
        <w:ind w:firstLineChars="200" w:firstLine="640"/>
        <w:rPr>
          <w:rFonts w:ascii="仿宋" w:eastAsia="仿宋" w:hAnsi="仿宋" w:cs="仿宋"/>
          <w:color w:val="333333"/>
          <w:kern w:val="0"/>
          <w:sz w:val="32"/>
          <w:szCs w:val="32"/>
        </w:rPr>
      </w:pPr>
      <w:r>
        <w:rPr>
          <w:rFonts w:ascii="仿宋" w:eastAsia="仿宋" w:hAnsi="仿宋" w:cs="仿宋" w:hint="eastAsia"/>
          <w:color w:val="333333"/>
          <w:kern w:val="0"/>
          <w:sz w:val="32"/>
          <w:szCs w:val="32"/>
        </w:rPr>
        <w:t>第四十三条 </w:t>
      </w:r>
      <w:r>
        <w:rPr>
          <w:rFonts w:ascii="仿宋" w:eastAsia="仿宋" w:hAnsi="仿宋" w:cs="仿宋" w:hint="eastAsia"/>
          <w:color w:val="333333"/>
          <w:kern w:val="0"/>
          <w:sz w:val="32"/>
          <w:szCs w:val="32"/>
        </w:rPr>
        <w:t xml:space="preserve"> </w:t>
      </w:r>
      <w:r>
        <w:rPr>
          <w:rFonts w:ascii="仿宋" w:eastAsia="仿宋" w:hAnsi="仿宋" w:cs="仿宋" w:hint="eastAsia"/>
          <w:color w:val="333333"/>
          <w:kern w:val="0"/>
          <w:sz w:val="32"/>
          <w:szCs w:val="32"/>
        </w:rPr>
        <w:t>本实施细则自</w:t>
      </w:r>
      <w:r>
        <w:rPr>
          <w:rFonts w:ascii="仿宋" w:eastAsia="仿宋" w:hAnsi="仿宋" w:cs="仿宋" w:hint="eastAsia"/>
          <w:color w:val="333333"/>
          <w:kern w:val="0"/>
          <w:sz w:val="32"/>
          <w:szCs w:val="32"/>
        </w:rPr>
        <w:t>2023</w:t>
      </w:r>
      <w:r>
        <w:rPr>
          <w:rFonts w:ascii="仿宋" w:eastAsia="仿宋" w:hAnsi="仿宋" w:cs="仿宋" w:hint="eastAsia"/>
          <w:color w:val="333333"/>
          <w:kern w:val="0"/>
          <w:sz w:val="32"/>
          <w:szCs w:val="32"/>
        </w:rPr>
        <w:t>年</w:t>
      </w:r>
      <w:r w:rsidRPr="008E5631">
        <w:rPr>
          <w:rFonts w:ascii="仿宋" w:eastAsia="仿宋" w:hAnsi="仿宋" w:cs="仿宋" w:hint="eastAsia"/>
          <w:kern w:val="0"/>
          <w:sz w:val="32"/>
          <w:szCs w:val="32"/>
        </w:rPr>
        <w:t>12</w:t>
      </w:r>
      <w:r w:rsidRPr="008E5631">
        <w:rPr>
          <w:rFonts w:ascii="仿宋" w:eastAsia="仿宋" w:hAnsi="仿宋" w:cs="仿宋" w:hint="eastAsia"/>
          <w:kern w:val="0"/>
          <w:sz w:val="32"/>
          <w:szCs w:val="32"/>
        </w:rPr>
        <w:t>月</w:t>
      </w:r>
      <w:r w:rsidRPr="008E5631">
        <w:rPr>
          <w:rFonts w:ascii="仿宋" w:eastAsia="仿宋" w:hAnsi="仿宋" w:cs="仿宋" w:hint="eastAsia"/>
          <w:kern w:val="0"/>
          <w:sz w:val="32"/>
          <w:szCs w:val="32"/>
        </w:rPr>
        <w:t>2</w:t>
      </w:r>
      <w:bookmarkStart w:id="0" w:name="_GoBack"/>
      <w:bookmarkEnd w:id="0"/>
      <w:r w:rsidRPr="008E5631">
        <w:rPr>
          <w:rFonts w:ascii="仿宋" w:eastAsia="仿宋" w:hAnsi="仿宋" w:cs="仿宋" w:hint="eastAsia"/>
          <w:kern w:val="0"/>
          <w:sz w:val="32"/>
          <w:szCs w:val="32"/>
        </w:rPr>
        <w:t>0</w:t>
      </w:r>
      <w:r>
        <w:rPr>
          <w:rFonts w:ascii="仿宋" w:eastAsia="仿宋" w:hAnsi="仿宋" w:cs="仿宋" w:hint="eastAsia"/>
          <w:color w:val="333333"/>
          <w:kern w:val="0"/>
          <w:sz w:val="32"/>
          <w:szCs w:val="32"/>
        </w:rPr>
        <w:t>日起施行，《吉林省住房和城乡建设厅关于印发</w:t>
      </w:r>
      <w:r>
        <w:rPr>
          <w:rFonts w:ascii="仿宋" w:eastAsia="仿宋" w:hAnsi="仿宋" w:cs="仿宋" w:hint="eastAsia"/>
          <w:color w:val="333333"/>
          <w:kern w:val="0"/>
          <w:sz w:val="32"/>
          <w:szCs w:val="32"/>
        </w:rPr>
        <w:t>&lt;</w:t>
      </w:r>
      <w:r>
        <w:rPr>
          <w:rFonts w:ascii="仿宋" w:eastAsia="仿宋" w:hAnsi="仿宋" w:cs="仿宋" w:hint="eastAsia"/>
          <w:color w:val="333333"/>
          <w:kern w:val="0"/>
          <w:sz w:val="32"/>
          <w:szCs w:val="32"/>
        </w:rPr>
        <w:t>吉林省危险性较大的分部分项工程安全管理规定实施细则</w:t>
      </w:r>
      <w:r>
        <w:rPr>
          <w:rFonts w:ascii="仿宋" w:eastAsia="仿宋" w:hAnsi="仿宋" w:cs="仿宋" w:hint="eastAsia"/>
          <w:color w:val="333333"/>
          <w:kern w:val="0"/>
          <w:sz w:val="32"/>
          <w:szCs w:val="32"/>
        </w:rPr>
        <w:t>&gt;</w:t>
      </w:r>
      <w:r>
        <w:rPr>
          <w:rFonts w:ascii="仿宋" w:eastAsia="仿宋" w:hAnsi="仿宋" w:cs="仿宋" w:hint="eastAsia"/>
          <w:color w:val="333333"/>
          <w:kern w:val="0"/>
          <w:sz w:val="32"/>
          <w:szCs w:val="32"/>
        </w:rPr>
        <w:t>的通知》（吉建规〔</w:t>
      </w:r>
      <w:r>
        <w:rPr>
          <w:rFonts w:ascii="仿宋" w:eastAsia="仿宋" w:hAnsi="仿宋" w:cs="仿宋" w:hint="eastAsia"/>
          <w:color w:val="333333"/>
          <w:kern w:val="0"/>
          <w:sz w:val="32"/>
          <w:szCs w:val="32"/>
        </w:rPr>
        <w:t>2019</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1</w:t>
      </w:r>
      <w:r>
        <w:rPr>
          <w:rFonts w:ascii="仿宋" w:eastAsia="仿宋" w:hAnsi="仿宋" w:cs="仿宋" w:hint="eastAsia"/>
          <w:color w:val="333333"/>
          <w:kern w:val="0"/>
          <w:sz w:val="32"/>
          <w:szCs w:val="32"/>
        </w:rPr>
        <w:t>号）同时废止。</w:t>
      </w:r>
    </w:p>
    <w:p w:rsidR="00E54660" w:rsidRDefault="00E54660">
      <w:pPr>
        <w:rPr>
          <w:rFonts w:ascii="仿宋" w:eastAsia="仿宋" w:hAnsi="仿宋" w:cs="仿宋"/>
          <w:sz w:val="32"/>
          <w:szCs w:val="32"/>
        </w:rPr>
      </w:pPr>
    </w:p>
    <w:sectPr w:rsidR="00E54660" w:rsidSect="00E546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charset w:val="86"/>
    <w:family w:val="auto"/>
    <w:pitch w:val="default"/>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charset w:val="86"/>
    <w:family w:val="auto"/>
    <w:pitch w:val="default"/>
    <w:sig w:usb0="A00002BF" w:usb1="38CF7CFA" w:usb2="00082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zY2NDg3YTE5ODU0MzEwZmEwYjlmZmYwMDE0NTc2ZWYifQ=="/>
  </w:docVars>
  <w:rsids>
    <w:rsidRoot w:val="007124D0"/>
    <w:rsid w:val="00002AB0"/>
    <w:rsid w:val="0002789C"/>
    <w:rsid w:val="00042564"/>
    <w:rsid w:val="000438CD"/>
    <w:rsid w:val="00057205"/>
    <w:rsid w:val="000612E2"/>
    <w:rsid w:val="00084705"/>
    <w:rsid w:val="000A45A4"/>
    <w:rsid w:val="000B7B2B"/>
    <w:rsid w:val="00157BB2"/>
    <w:rsid w:val="00182E33"/>
    <w:rsid w:val="001D1D6C"/>
    <w:rsid w:val="0021081D"/>
    <w:rsid w:val="0021259D"/>
    <w:rsid w:val="002247E2"/>
    <w:rsid w:val="00254D46"/>
    <w:rsid w:val="002607E7"/>
    <w:rsid w:val="00262972"/>
    <w:rsid w:val="00335761"/>
    <w:rsid w:val="00347711"/>
    <w:rsid w:val="00350C27"/>
    <w:rsid w:val="00361065"/>
    <w:rsid w:val="003805C9"/>
    <w:rsid w:val="003956DF"/>
    <w:rsid w:val="003A5C08"/>
    <w:rsid w:val="003B79B3"/>
    <w:rsid w:val="004A5EF2"/>
    <w:rsid w:val="004D310D"/>
    <w:rsid w:val="00575150"/>
    <w:rsid w:val="00580163"/>
    <w:rsid w:val="00604325"/>
    <w:rsid w:val="00647D5D"/>
    <w:rsid w:val="006A62BF"/>
    <w:rsid w:val="006F7D91"/>
    <w:rsid w:val="007124D0"/>
    <w:rsid w:val="00732AEB"/>
    <w:rsid w:val="008075E4"/>
    <w:rsid w:val="0081480E"/>
    <w:rsid w:val="00884720"/>
    <w:rsid w:val="008967CC"/>
    <w:rsid w:val="008A1DDB"/>
    <w:rsid w:val="008A37A7"/>
    <w:rsid w:val="008E5631"/>
    <w:rsid w:val="008E726D"/>
    <w:rsid w:val="009C7BFB"/>
    <w:rsid w:val="009D44E1"/>
    <w:rsid w:val="00A00FFF"/>
    <w:rsid w:val="00A279AE"/>
    <w:rsid w:val="00AA4AFC"/>
    <w:rsid w:val="00B95468"/>
    <w:rsid w:val="00BA1779"/>
    <w:rsid w:val="00BA455C"/>
    <w:rsid w:val="00BC1A19"/>
    <w:rsid w:val="00BC6E20"/>
    <w:rsid w:val="00BD6298"/>
    <w:rsid w:val="00BF78A9"/>
    <w:rsid w:val="00C023A2"/>
    <w:rsid w:val="00C157E3"/>
    <w:rsid w:val="00C75403"/>
    <w:rsid w:val="00CD6784"/>
    <w:rsid w:val="00CF23A0"/>
    <w:rsid w:val="00CF79FE"/>
    <w:rsid w:val="00D6711E"/>
    <w:rsid w:val="00E54660"/>
    <w:rsid w:val="00E72917"/>
    <w:rsid w:val="00EB3DC9"/>
    <w:rsid w:val="00EC368D"/>
    <w:rsid w:val="00ED70A4"/>
    <w:rsid w:val="00F03A45"/>
    <w:rsid w:val="00F418AA"/>
    <w:rsid w:val="00F55CD6"/>
    <w:rsid w:val="00F80A06"/>
    <w:rsid w:val="00F8393F"/>
    <w:rsid w:val="00FD679E"/>
    <w:rsid w:val="091D301C"/>
    <w:rsid w:val="09BA4874"/>
    <w:rsid w:val="0A731984"/>
    <w:rsid w:val="15E67F45"/>
    <w:rsid w:val="16D512C3"/>
    <w:rsid w:val="17B053ED"/>
    <w:rsid w:val="192A5572"/>
    <w:rsid w:val="1E7A0273"/>
    <w:rsid w:val="1FC95202"/>
    <w:rsid w:val="23D5257E"/>
    <w:rsid w:val="26DB3B86"/>
    <w:rsid w:val="294553DA"/>
    <w:rsid w:val="30446AC1"/>
    <w:rsid w:val="31097FB3"/>
    <w:rsid w:val="36EF34FF"/>
    <w:rsid w:val="463E4F24"/>
    <w:rsid w:val="48F536EC"/>
    <w:rsid w:val="49035DAE"/>
    <w:rsid w:val="498A77E3"/>
    <w:rsid w:val="4B72052F"/>
    <w:rsid w:val="5E0717F2"/>
    <w:rsid w:val="5E8A398A"/>
    <w:rsid w:val="613A0FF4"/>
    <w:rsid w:val="66F75934"/>
    <w:rsid w:val="6BB622DB"/>
    <w:rsid w:val="6D991A02"/>
    <w:rsid w:val="70180DF5"/>
    <w:rsid w:val="71CD38CD"/>
    <w:rsid w:val="7AA001D9"/>
    <w:rsid w:val="7AAC6D0A"/>
    <w:rsid w:val="7E2D1F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5466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autoRedefine/>
    <w:qFormat/>
    <w:rsid w:val="00E54660"/>
    <w:pPr>
      <w:ind w:firstLine="420"/>
    </w:pPr>
  </w:style>
  <w:style w:type="paragraph" w:styleId="a3">
    <w:name w:val="Body Text Indent"/>
    <w:basedOn w:val="a"/>
    <w:autoRedefine/>
    <w:qFormat/>
    <w:rsid w:val="00E54660"/>
    <w:pPr>
      <w:spacing w:line="360" w:lineRule="auto"/>
      <w:ind w:firstLineChars="200" w:firstLine="640"/>
    </w:pPr>
    <w:rPr>
      <w:rFonts w:ascii="仿宋_GB2312" w:eastAsia="仿宋_GB2312"/>
      <w:color w:val="000000"/>
      <w:sz w:val="32"/>
    </w:rPr>
  </w:style>
  <w:style w:type="paragraph" w:styleId="a4">
    <w:name w:val="footer"/>
    <w:basedOn w:val="a"/>
    <w:link w:val="Char"/>
    <w:autoRedefine/>
    <w:uiPriority w:val="99"/>
    <w:unhideWhenUsed/>
    <w:qFormat/>
    <w:rsid w:val="00E54660"/>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rsid w:val="00E54660"/>
    <w:pP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E54660"/>
    <w:pPr>
      <w:spacing w:before="100" w:beforeAutospacing="1" w:after="100" w:afterAutospacing="1"/>
      <w:jc w:val="left"/>
    </w:pPr>
    <w:rPr>
      <w:rFonts w:ascii="Calibri" w:eastAsia="宋体" w:hAnsi="Calibri" w:cs="Calibri"/>
      <w:kern w:val="0"/>
      <w:sz w:val="24"/>
      <w:szCs w:val="24"/>
    </w:rPr>
  </w:style>
  <w:style w:type="character" w:styleId="a7">
    <w:name w:val="annotation reference"/>
    <w:autoRedefine/>
    <w:qFormat/>
    <w:rsid w:val="00E54660"/>
    <w:rPr>
      <w:sz w:val="21"/>
      <w:szCs w:val="21"/>
    </w:rPr>
  </w:style>
  <w:style w:type="character" w:customStyle="1" w:styleId="Char0">
    <w:name w:val="页眉 Char"/>
    <w:basedOn w:val="a0"/>
    <w:link w:val="a5"/>
    <w:uiPriority w:val="99"/>
    <w:qFormat/>
    <w:rsid w:val="00E54660"/>
    <w:rPr>
      <w:sz w:val="18"/>
      <w:szCs w:val="18"/>
    </w:rPr>
  </w:style>
  <w:style w:type="character" w:customStyle="1" w:styleId="Char">
    <w:name w:val="页脚 Char"/>
    <w:basedOn w:val="a0"/>
    <w:link w:val="a4"/>
    <w:autoRedefine/>
    <w:uiPriority w:val="99"/>
    <w:qFormat/>
    <w:rsid w:val="00E54660"/>
    <w:rPr>
      <w:sz w:val="18"/>
      <w:szCs w:val="18"/>
    </w:rPr>
  </w:style>
  <w:style w:type="paragraph" w:customStyle="1" w:styleId="1">
    <w:name w:val="正文1"/>
    <w:autoRedefine/>
    <w:qFormat/>
    <w:rsid w:val="00E54660"/>
    <w:pPr>
      <w:jc w:val="both"/>
    </w:pPr>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19</Pages>
  <Words>1190</Words>
  <Characters>6789</Characters>
  <Application>Microsoft Office Word</Application>
  <DocSecurity>0</DocSecurity>
  <Lines>56</Lines>
  <Paragraphs>15</Paragraphs>
  <ScaleCrop>false</ScaleCrop>
  <Company/>
  <LinksUpToDate>false</LinksUpToDate>
  <CharactersWithSpaces>7964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wygs_lzh@outlook.com</dc:creator>
  <cp:lastModifiedBy>Administrator</cp:lastModifiedBy>
  <cp:revision>26</cp:revision>
  <dcterms:created xsi:type="dcterms:W3CDTF">2023-01-04T05:05:00Z</dcterms:created>
  <dcterms:modified xsi:type="dcterms:W3CDTF">2024-01-15T04:14:00Z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847FFB38D1FF4D1DBC1D6D93C4C27300_13</vt:lpwstr>
  </property>
</Properties>
</file>